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2C6B3" w14:textId="77777777" w:rsidR="003937E2" w:rsidRDefault="005A1CDC" w:rsidP="0048389A">
      <w:pPr>
        <w:jc w:val="center"/>
      </w:pPr>
      <w:r>
        <w:rPr>
          <w:noProof/>
        </w:rPr>
        <w:drawing>
          <wp:inline distT="0" distB="0" distL="0" distR="0" wp14:anchorId="48F7B9CA" wp14:editId="629F556B">
            <wp:extent cx="3886200" cy="1066800"/>
            <wp:effectExtent l="0" t="0" r="0" b="0"/>
            <wp:docPr id="2"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066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61D7733" w14:textId="77777777" w:rsidR="002F0A99" w:rsidRDefault="00EA748A" w:rsidP="005D7C5D">
      <w:pPr>
        <w:jc w:val="center"/>
        <w:rPr>
          <w:b/>
          <w:bCs/>
          <w:sz w:val="44"/>
          <w:szCs w:val="44"/>
        </w:rPr>
      </w:pPr>
      <w:r>
        <w:rPr>
          <w:b/>
          <w:bCs/>
          <w:sz w:val="44"/>
          <w:szCs w:val="44"/>
        </w:rPr>
        <w:t>CONFLICT OF INTEREST</w:t>
      </w:r>
      <w:r w:rsidR="00C45CB1">
        <w:rPr>
          <w:b/>
          <w:bCs/>
          <w:sz w:val="44"/>
          <w:szCs w:val="44"/>
        </w:rPr>
        <w:t xml:space="preserve"> </w:t>
      </w:r>
      <w:r>
        <w:rPr>
          <w:b/>
          <w:bCs/>
          <w:sz w:val="44"/>
          <w:szCs w:val="44"/>
        </w:rPr>
        <w:t>(STAFF)</w:t>
      </w:r>
      <w:r w:rsidR="0031072E">
        <w:rPr>
          <w:b/>
          <w:bCs/>
          <w:sz w:val="44"/>
          <w:szCs w:val="44"/>
        </w:rPr>
        <w:t xml:space="preserve"> POLICY</w:t>
      </w:r>
    </w:p>
    <w:p w14:paraId="7372C5E0" w14:textId="77777777" w:rsidR="00920ACE" w:rsidRDefault="00920ACE" w:rsidP="00920ACE">
      <w:pPr>
        <w:pStyle w:val="Heading1"/>
        <w:rPr>
          <w:b/>
          <w:bCs/>
        </w:rPr>
      </w:pPr>
      <w:r>
        <w:rPr>
          <w:b/>
          <w:bCs/>
        </w:rPr>
        <w:t xml:space="preserve">Overview </w:t>
      </w:r>
    </w:p>
    <w:p w14:paraId="151E273A" w14:textId="77777777" w:rsidR="00920ACE" w:rsidRDefault="00920ACE" w:rsidP="00920ACE">
      <w:r>
        <w:t>The following has been developed as a full suite of documents councils may consider of implementing</w:t>
      </w:r>
      <w:r w:rsidR="00921217">
        <w:t xml:space="preserve"> to support the management of staff conflicts of interests</w:t>
      </w:r>
      <w:r>
        <w:t xml:space="preserve">.  </w:t>
      </w:r>
    </w:p>
    <w:p w14:paraId="40D3917F" w14:textId="228144D8" w:rsidR="00920ACE" w:rsidRDefault="00920ACE" w:rsidP="00920ACE">
      <w:r>
        <w:t xml:space="preserve">The </w:t>
      </w:r>
      <w:r w:rsidRPr="00327D34">
        <w:rPr>
          <w:i/>
          <w:iCs/>
        </w:rPr>
        <w:t>Local Government Act 2009</w:t>
      </w:r>
      <w:r>
        <w:t xml:space="preserve"> (LGA) (</w:t>
      </w:r>
      <w:r w:rsidR="00747CE1">
        <w:t>s13</w:t>
      </w:r>
      <w:r>
        <w:t xml:space="preserve">) </w:t>
      </w:r>
      <w:r w:rsidR="008826B8">
        <w:t xml:space="preserve">prescribes </w:t>
      </w:r>
      <w:r w:rsidR="00747CE1">
        <w:t xml:space="preserve">the responsibilities </w:t>
      </w:r>
      <w:r w:rsidR="00031B4A">
        <w:t>of a local government employee.  Specific reference to S13(2)(h-i) highlights the</w:t>
      </w:r>
      <w:r w:rsidR="005B464A">
        <w:t xml:space="preserve"> employees responsibilities to </w:t>
      </w:r>
      <w:r w:rsidR="00031B4A">
        <w:t>observ</w:t>
      </w:r>
      <w:r w:rsidR="005B464A">
        <w:t>e</w:t>
      </w:r>
      <w:r w:rsidR="00031B4A">
        <w:t xml:space="preserve"> the ethical principles and complying with a code of conduct under the </w:t>
      </w:r>
      <w:r w:rsidR="00031B4A" w:rsidRPr="00031B4A">
        <w:rPr>
          <w:i/>
          <w:iCs/>
        </w:rPr>
        <w:t>Public Sector Ethics Act 1994</w:t>
      </w:r>
      <w:r w:rsidR="00617D20">
        <w:rPr>
          <w:i/>
          <w:iCs/>
        </w:rPr>
        <w:t xml:space="preserve"> </w:t>
      </w:r>
      <w:r w:rsidR="00617D20">
        <w:t>(PSEA)</w:t>
      </w:r>
      <w:r w:rsidR="00031B4A">
        <w:t>.</w:t>
      </w:r>
    </w:p>
    <w:p w14:paraId="0F817C2C" w14:textId="1A4AC14A" w:rsidR="00920ACE" w:rsidRDefault="00617D20" w:rsidP="00920ACE">
      <w:r>
        <w:t xml:space="preserve">Managing conflicts of Interest is a key issue for local governments to </w:t>
      </w:r>
      <w:r w:rsidR="00816994">
        <w:t>manage</w:t>
      </w:r>
      <w:r>
        <w:t>.  It is best practice for CEO’s to implement a regime to support staff to be aware of their conflicts and declare and manage</w:t>
      </w:r>
      <w:r w:rsidR="00816994">
        <w:t xml:space="preserve"> those such conflicts</w:t>
      </w:r>
      <w:r>
        <w:t xml:space="preserve"> “in favour of the public interest” (PSEA s6(d))</w:t>
      </w:r>
      <w:r w:rsidR="00E922B9">
        <w:t>.</w:t>
      </w:r>
      <w:r w:rsidR="00DE67C0">
        <w:t xml:space="preserve">  The following could be a policy adopted by the CEO or developed as a guideline.</w:t>
      </w:r>
    </w:p>
    <w:p w14:paraId="75855EF3" w14:textId="3D47E954" w:rsidR="00E922B9" w:rsidRDefault="00E922B9" w:rsidP="00920ACE">
      <w:r>
        <w:t>This template is aimed to manage conflicts of interest for staff ensur</w:t>
      </w:r>
      <w:r w:rsidR="00A9316A">
        <w:t>ing</w:t>
      </w:r>
      <w:r>
        <w:t xml:space="preserve"> </w:t>
      </w:r>
      <w:r w:rsidR="00A9316A">
        <w:t xml:space="preserve">that </w:t>
      </w:r>
      <w:r w:rsidR="00FD4EFB">
        <w:t>consideration</w:t>
      </w:r>
      <w:r w:rsidR="00A9316A">
        <w:t xml:space="preserve"> </w:t>
      </w:r>
      <w:r w:rsidR="00FD4EFB">
        <w:t>of</w:t>
      </w:r>
      <w:r>
        <w:t xml:space="preserve"> conflicts of interest are business as usual at the front end of all activities.</w:t>
      </w:r>
      <w:r w:rsidR="00CA01B6">
        <w:t xml:space="preserve">   However, Councils</w:t>
      </w:r>
      <w:r w:rsidR="00DE67C0">
        <w:t xml:space="preserve"> are also encouraged to </w:t>
      </w:r>
      <w:r>
        <w:t>implement a specific step within their contract tendering and procurement frameworks</w:t>
      </w:r>
      <w:r w:rsidR="00CA01B6">
        <w:t xml:space="preserve"> for </w:t>
      </w:r>
      <w:r w:rsidR="00FD4EFB">
        <w:t xml:space="preserve">identifying and managing </w:t>
      </w:r>
      <w:r w:rsidR="00CA01B6">
        <w:t>conflicts of interest</w:t>
      </w:r>
      <w:r>
        <w:t>.</w:t>
      </w:r>
    </w:p>
    <w:p w14:paraId="18988E9C" w14:textId="77777777" w:rsidR="00920ACE" w:rsidRDefault="00656EC7" w:rsidP="00920ACE">
      <w:pPr>
        <w:pStyle w:val="Heading1"/>
        <w:rPr>
          <w:b/>
          <w:bCs/>
        </w:rPr>
      </w:pPr>
      <w:r>
        <w:rPr>
          <w:b/>
          <w:bCs/>
        </w:rPr>
        <w:t>R</w:t>
      </w:r>
      <w:r w:rsidR="00920ACE">
        <w:rPr>
          <w:b/>
          <w:bCs/>
        </w:rPr>
        <w:t>elated templates</w:t>
      </w:r>
    </w:p>
    <w:p w14:paraId="2FA3B3BD" w14:textId="77777777" w:rsidR="00920ACE" w:rsidRDefault="00920ACE" w:rsidP="00920ACE">
      <w:pPr>
        <w:pStyle w:val="ListParagraph"/>
        <w:numPr>
          <w:ilvl w:val="0"/>
          <w:numId w:val="7"/>
        </w:numPr>
      </w:pPr>
      <w:r>
        <w:t>Conflict of Interest Form (Staff) Template</w:t>
      </w:r>
    </w:p>
    <w:p w14:paraId="363334EC" w14:textId="77777777" w:rsidR="00656EC7" w:rsidRDefault="00656EC7" w:rsidP="00920ACE">
      <w:pPr>
        <w:pStyle w:val="ListParagraph"/>
        <w:numPr>
          <w:ilvl w:val="0"/>
          <w:numId w:val="7"/>
        </w:numPr>
      </w:pPr>
      <w:r>
        <w:t>Conflict of Interest Checklist Template</w:t>
      </w:r>
    </w:p>
    <w:p w14:paraId="658224B6" w14:textId="77777777" w:rsidR="0031072E" w:rsidRDefault="0031072E" w:rsidP="00920ACE">
      <w:pPr>
        <w:pStyle w:val="ListParagraph"/>
        <w:numPr>
          <w:ilvl w:val="0"/>
          <w:numId w:val="7"/>
        </w:numPr>
      </w:pPr>
      <w:r>
        <w:t xml:space="preserve">Conflict of Interest Awareness Training Template </w:t>
      </w:r>
    </w:p>
    <w:p w14:paraId="4CC7584C" w14:textId="77777777" w:rsidR="00920ACE" w:rsidRPr="002A75B6" w:rsidRDefault="00920ACE" w:rsidP="00920ACE">
      <w:pPr>
        <w:pStyle w:val="Heading1"/>
        <w:rPr>
          <w:b/>
          <w:bCs/>
        </w:rPr>
      </w:pPr>
      <w:r w:rsidRPr="002A75B6">
        <w:rPr>
          <w:b/>
          <w:bCs/>
        </w:rPr>
        <w:t>References/acknowledgements:</w:t>
      </w:r>
    </w:p>
    <w:p w14:paraId="169330F5" w14:textId="77777777" w:rsidR="00920ACE" w:rsidRDefault="00920ACE" w:rsidP="00920ACE">
      <w:r>
        <w:t xml:space="preserve">These templates have been developed referencing the </w:t>
      </w:r>
      <w:r w:rsidRPr="00A66687">
        <w:rPr>
          <w:i/>
          <w:iCs/>
        </w:rPr>
        <w:t>Local Government Act 2009</w:t>
      </w:r>
      <w:r w:rsidR="00617D20">
        <w:rPr>
          <w:i/>
          <w:iCs/>
        </w:rPr>
        <w:t xml:space="preserve">, </w:t>
      </w:r>
      <w:r w:rsidR="00617D20" w:rsidRPr="00031B4A">
        <w:rPr>
          <w:i/>
          <w:iCs/>
        </w:rPr>
        <w:t>Public Sector Ethics Act 1994</w:t>
      </w:r>
      <w:r w:rsidR="00617D20">
        <w:rPr>
          <w:i/>
          <w:iCs/>
        </w:rPr>
        <w:t xml:space="preserve"> </w:t>
      </w:r>
      <w:r>
        <w:t xml:space="preserve">and </w:t>
      </w:r>
      <w:r w:rsidR="00617D20" w:rsidRPr="00617D20">
        <w:rPr>
          <w:i/>
          <w:iCs/>
        </w:rPr>
        <w:t>Public Sector Act 2022</w:t>
      </w:r>
      <w:r w:rsidR="00617D20">
        <w:t xml:space="preserve"> and other </w:t>
      </w:r>
      <w:r w:rsidR="00B25AB2">
        <w:t>available reports/documentation.</w:t>
      </w:r>
    </w:p>
    <w:p w14:paraId="27C9D636" w14:textId="77777777" w:rsidR="00920ACE" w:rsidRDefault="00920ACE" w:rsidP="00920ACE">
      <w:r>
        <w:t>Other research and reference material sourced from council websites), which the following list acknowledges:</w:t>
      </w:r>
    </w:p>
    <w:p w14:paraId="052B99BB" w14:textId="4E741187" w:rsidR="00617D20" w:rsidRDefault="00617D20" w:rsidP="00DE67C0">
      <w:pPr>
        <w:pStyle w:val="ListParagraph"/>
        <w:numPr>
          <w:ilvl w:val="0"/>
          <w:numId w:val="8"/>
        </w:numPr>
      </w:pPr>
      <w:r>
        <w:t>Charters Towers Regional Council</w:t>
      </w:r>
      <w:r w:rsidR="00DE67C0">
        <w:t xml:space="preserve"> &amp; Isaac Regional Council</w:t>
      </w:r>
    </w:p>
    <w:p w14:paraId="74B552AD" w14:textId="77777777" w:rsidR="00B25AB2" w:rsidRDefault="00B25AB2" w:rsidP="00920ACE">
      <w:pPr>
        <w:pStyle w:val="ListParagraph"/>
        <w:numPr>
          <w:ilvl w:val="0"/>
          <w:numId w:val="8"/>
        </w:numPr>
      </w:pPr>
      <w:r>
        <w:t>Crime and Corruption Commission</w:t>
      </w:r>
    </w:p>
    <w:p w14:paraId="6B31BC71" w14:textId="77777777" w:rsidR="002B37C2" w:rsidRDefault="002B37C2" w:rsidP="002B37C2">
      <w:pPr>
        <w:pStyle w:val="ListParagraph"/>
        <w:numPr>
          <w:ilvl w:val="1"/>
          <w:numId w:val="8"/>
        </w:numPr>
      </w:pPr>
      <w:r>
        <w:t>Managing Conflicts of Interest in the Public Sector – Toolkit</w:t>
      </w:r>
    </w:p>
    <w:p w14:paraId="6E173628" w14:textId="77777777" w:rsidR="002B37C2" w:rsidRDefault="002B37C2" w:rsidP="002B37C2">
      <w:pPr>
        <w:pStyle w:val="ListParagraph"/>
        <w:numPr>
          <w:ilvl w:val="1"/>
          <w:numId w:val="8"/>
        </w:numPr>
      </w:pPr>
      <w:r>
        <w:t>Managing Conflicts of Interest in the Public Sector - Guideline</w:t>
      </w:r>
    </w:p>
    <w:p w14:paraId="1C9ECF4B" w14:textId="77777777" w:rsidR="00B25AB2" w:rsidRDefault="00B25AB2" w:rsidP="00920ACE">
      <w:pPr>
        <w:pStyle w:val="ListParagraph"/>
        <w:numPr>
          <w:ilvl w:val="0"/>
          <w:numId w:val="8"/>
        </w:numPr>
      </w:pPr>
      <w:r>
        <w:t>Queensland Audit Office</w:t>
      </w:r>
      <w:r w:rsidR="00656EC7" w:rsidRPr="00656EC7">
        <w:rPr>
          <w:b/>
          <w:bCs/>
        </w:rPr>
        <w:t xml:space="preserve"> </w:t>
      </w:r>
    </w:p>
    <w:p w14:paraId="138327D9" w14:textId="77777777" w:rsidR="002B37C2" w:rsidRDefault="00656EC7" w:rsidP="00701249">
      <w:pPr>
        <w:pStyle w:val="ListParagraph"/>
        <w:numPr>
          <w:ilvl w:val="1"/>
          <w:numId w:val="8"/>
        </w:numPr>
      </w:pPr>
      <w:r w:rsidRPr="00903514">
        <w:rPr>
          <w:b/>
          <w:bCs/>
          <w:noProof/>
        </w:rPr>
        <mc:AlternateContent>
          <mc:Choice Requires="wps">
            <w:drawing>
              <wp:anchor distT="45720" distB="45720" distL="114300" distR="114300" simplePos="0" relativeHeight="251659264" behindDoc="0" locked="0" layoutInCell="1" allowOverlap="1" wp14:anchorId="6B1AF504" wp14:editId="78561E02">
                <wp:simplePos x="0" y="0"/>
                <wp:positionH relativeFrom="margin">
                  <wp:posOffset>247650</wp:posOffset>
                </wp:positionH>
                <wp:positionV relativeFrom="paragraph">
                  <wp:posOffset>287020</wp:posOffset>
                </wp:positionV>
                <wp:extent cx="53721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0525"/>
                        </a:xfrm>
                        <a:prstGeom prst="rect">
                          <a:avLst/>
                        </a:prstGeom>
                        <a:solidFill>
                          <a:srgbClr val="FFFFFF"/>
                        </a:solidFill>
                        <a:ln w="9525">
                          <a:solidFill>
                            <a:srgbClr val="000000"/>
                          </a:solidFill>
                          <a:miter lim="800000"/>
                          <a:headEnd/>
                          <a:tailEnd/>
                        </a:ln>
                      </wps:spPr>
                      <wps:txbx>
                        <w:txbxContent>
                          <w:p w14:paraId="69F22D1A" w14:textId="0F730C21" w:rsidR="00656EC7" w:rsidRPr="00BA723E" w:rsidRDefault="00656EC7" w:rsidP="00656EC7">
                            <w:pPr>
                              <w:rPr>
                                <w:i/>
                                <w:iCs/>
                                <w:sz w:val="18"/>
                                <w:szCs w:val="18"/>
                              </w:rPr>
                            </w:pPr>
                            <w:r w:rsidRPr="00BA723E">
                              <w:rPr>
                                <w:i/>
                                <w:iCs/>
                                <w:sz w:val="18"/>
                                <w:szCs w:val="18"/>
                              </w:rPr>
                              <w:t xml:space="preserve">This resource has been prepared in partnership between LGMA and the </w:t>
                            </w:r>
                            <w:r w:rsidR="00660E4E" w:rsidRPr="00660E4E">
                              <w:rPr>
                                <w:i/>
                                <w:iCs/>
                                <w:sz w:val="18"/>
                                <w:szCs w:val="18"/>
                              </w:rPr>
                              <w:t>Department of Housing, Local Government, Planning and Public Works</w:t>
                            </w:r>
                            <w:r w:rsidR="00660E4E">
                              <w:rPr>
                                <w:i/>
                                <w:iCs/>
                                <w:sz w:val="18"/>
                                <w:szCs w:val="18"/>
                              </w:rPr>
                              <w:t xml:space="preserve"> </w:t>
                            </w:r>
                            <w:r w:rsidRPr="00BA723E">
                              <w:rPr>
                                <w:i/>
                                <w:iCs/>
                                <w:sz w:val="18"/>
                                <w:szCs w:val="18"/>
                              </w:rPr>
                              <w:t>through the Governance Advisory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AF504" id="_x0000_t202" coordsize="21600,21600" o:spt="202" path="m,l,21600r21600,l21600,xe">
                <v:stroke joinstyle="miter"/>
                <v:path gradientshapeok="t" o:connecttype="rect"/>
              </v:shapetype>
              <v:shape id="Text Box 2" o:spid="_x0000_s1026" type="#_x0000_t202" style="position:absolute;left:0;text-align:left;margin-left:19.5pt;margin-top:22.6pt;width:423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">
                <v:textbox>
                  <w:txbxContent>
                    <w:p w14:paraId="69F22D1A" w14:textId="0F730C21" w:rsidR="00656EC7" w:rsidRPr="00BA723E" w:rsidRDefault="00656EC7" w:rsidP="00656EC7">
                      <w:pPr>
                        <w:rPr>
                          <w:i/>
                          <w:iCs/>
                          <w:sz w:val="18"/>
                          <w:szCs w:val="18"/>
                        </w:rPr>
                      </w:pPr>
                      <w:r w:rsidRPr="00BA723E">
                        <w:rPr>
                          <w:i/>
                          <w:iCs/>
                          <w:sz w:val="18"/>
                          <w:szCs w:val="18"/>
                        </w:rPr>
                        <w:t xml:space="preserve">This resource has been prepared in partnership between LGMA and the </w:t>
                      </w:r>
                      <w:r w:rsidR="00660E4E" w:rsidRPr="00660E4E">
                        <w:rPr>
                          <w:i/>
                          <w:iCs/>
                          <w:sz w:val="18"/>
                          <w:szCs w:val="18"/>
                        </w:rPr>
                        <w:t>Department of Housing, Local Government, Planning and Public Works</w:t>
                      </w:r>
                      <w:r w:rsidR="00660E4E">
                        <w:rPr>
                          <w:i/>
                          <w:iCs/>
                          <w:sz w:val="18"/>
                          <w:szCs w:val="18"/>
                        </w:rPr>
                        <w:t xml:space="preserve"> </w:t>
                      </w:r>
                      <w:r w:rsidRPr="00BA723E">
                        <w:rPr>
                          <w:i/>
                          <w:iCs/>
                          <w:sz w:val="18"/>
                          <w:szCs w:val="18"/>
                        </w:rPr>
                        <w:t>through the Governance Advisory Service.</w:t>
                      </w:r>
                    </w:p>
                  </w:txbxContent>
                </v:textbox>
                <w10:wrap type="square" anchorx="margin"/>
              </v:shape>
            </w:pict>
          </mc:Fallback>
        </mc:AlternateContent>
      </w:r>
      <w:r w:rsidR="002B37C2" w:rsidRPr="002B37C2">
        <w:t>Conflicts of interest—How do you manage yours?</w:t>
      </w:r>
      <w:r w:rsidR="002B37C2">
        <w:br w:type="page"/>
      </w:r>
    </w:p>
    <w:p w14:paraId="0AB92314" w14:textId="77777777" w:rsidR="00C62578" w:rsidRDefault="00C62578" w:rsidP="00903514">
      <w:pPr>
        <w:pStyle w:val="Heading1"/>
        <w:jc w:val="center"/>
        <w:rPr>
          <w:b/>
          <w:bCs/>
        </w:rPr>
      </w:pPr>
      <w:r w:rsidRPr="00B7281E">
        <w:rPr>
          <w:b/>
          <w:bCs/>
        </w:rPr>
        <w:lastRenderedPageBreak/>
        <w:t>TEMP</w:t>
      </w:r>
      <w:r>
        <w:rPr>
          <w:b/>
          <w:bCs/>
        </w:rPr>
        <w:t>L</w:t>
      </w:r>
      <w:r w:rsidRPr="00B7281E">
        <w:rPr>
          <w:b/>
          <w:bCs/>
        </w:rPr>
        <w:t>ATE</w:t>
      </w:r>
    </w:p>
    <w:p w14:paraId="7B836791" w14:textId="77777777" w:rsidR="00C62578" w:rsidRPr="00CF6A90" w:rsidRDefault="00C62578" w:rsidP="00C62578">
      <w:pPr>
        <w:pStyle w:val="Header"/>
        <w:pBdr>
          <w:bottom w:val="single" w:sz="4" w:space="1" w:color="auto"/>
        </w:pBdr>
        <w:jc w:val="center"/>
        <w:rPr>
          <w:sz w:val="16"/>
          <w:szCs w:val="16"/>
        </w:rPr>
      </w:pPr>
      <w:r>
        <w:rPr>
          <w:sz w:val="16"/>
          <w:szCs w:val="16"/>
        </w:rPr>
        <w:t xml:space="preserve">It is acknowledged that </w:t>
      </w:r>
      <w:r w:rsidRPr="00CF6A90">
        <w:rPr>
          <w:sz w:val="16"/>
          <w:szCs w:val="16"/>
        </w:rPr>
        <w:t>Council</w:t>
      </w:r>
      <w:r>
        <w:rPr>
          <w:sz w:val="16"/>
          <w:szCs w:val="16"/>
        </w:rPr>
        <w:t>s</w:t>
      </w:r>
      <w:r w:rsidRPr="00CF6A90">
        <w:rPr>
          <w:sz w:val="16"/>
          <w:szCs w:val="16"/>
        </w:rPr>
        <w:t xml:space="preserve"> </w:t>
      </w:r>
      <w:r>
        <w:rPr>
          <w:sz w:val="16"/>
          <w:szCs w:val="16"/>
        </w:rPr>
        <w:t xml:space="preserve">will format to </w:t>
      </w:r>
      <w:r w:rsidRPr="00CF6A90">
        <w:rPr>
          <w:sz w:val="16"/>
          <w:szCs w:val="16"/>
        </w:rPr>
        <w:t xml:space="preserve">their own inhouse style </w:t>
      </w:r>
      <w:r>
        <w:rPr>
          <w:sz w:val="16"/>
          <w:szCs w:val="16"/>
        </w:rPr>
        <w:t>guide</w:t>
      </w:r>
      <w:r w:rsidRPr="00CF6A90">
        <w:rPr>
          <w:sz w:val="16"/>
          <w:szCs w:val="16"/>
        </w:rPr>
        <w:t xml:space="preserve"> when converting </w:t>
      </w:r>
      <w:r>
        <w:rPr>
          <w:sz w:val="16"/>
          <w:szCs w:val="16"/>
        </w:rPr>
        <w:t>this template</w:t>
      </w:r>
      <w:r w:rsidRPr="00CF6A90">
        <w:rPr>
          <w:sz w:val="16"/>
          <w:szCs w:val="16"/>
        </w:rPr>
        <w:t xml:space="preserve"> into their Policy</w:t>
      </w:r>
      <w:r>
        <w:rPr>
          <w:sz w:val="16"/>
          <w:szCs w:val="16"/>
        </w:rPr>
        <w:t xml:space="preserve"> or Document Management </w:t>
      </w:r>
      <w:r w:rsidRPr="00CF6A90">
        <w:rPr>
          <w:sz w:val="16"/>
          <w:szCs w:val="16"/>
        </w:rPr>
        <w:t>Framework</w:t>
      </w:r>
    </w:p>
    <w:p w14:paraId="7B291371" w14:textId="77777777" w:rsidR="00C62578" w:rsidRDefault="00E9740A" w:rsidP="00C62578">
      <w:pPr>
        <w:pStyle w:val="Heading1"/>
        <w:rPr>
          <w:b/>
          <w:bCs/>
        </w:rPr>
      </w:pPr>
      <w:r>
        <w:rPr>
          <w:b/>
          <w:bCs/>
        </w:rPr>
        <w:t>CONFLICTS OF INTEREST (STAFF) POLICY</w:t>
      </w:r>
    </w:p>
    <w:tbl>
      <w:tblPr>
        <w:tblStyle w:val="TableGrid"/>
        <w:tblW w:w="0" w:type="auto"/>
        <w:tblLook w:val="04A0" w:firstRow="1" w:lastRow="0" w:firstColumn="1" w:lastColumn="0" w:noHBand="0" w:noVBand="1"/>
      </w:tblPr>
      <w:tblGrid>
        <w:gridCol w:w="2254"/>
        <w:gridCol w:w="2986"/>
        <w:gridCol w:w="1522"/>
        <w:gridCol w:w="2254"/>
      </w:tblGrid>
      <w:tr w:rsidR="00C62578" w:rsidRPr="00590ED7" w14:paraId="602288C8" w14:textId="77777777" w:rsidTr="00911576">
        <w:tc>
          <w:tcPr>
            <w:tcW w:w="2254" w:type="dxa"/>
          </w:tcPr>
          <w:p w14:paraId="71DBDA4C" w14:textId="77777777" w:rsidR="00C62578" w:rsidRPr="00590ED7" w:rsidRDefault="00C62578" w:rsidP="00911576">
            <w:pPr>
              <w:rPr>
                <w:b/>
                <w:bCs/>
                <w:sz w:val="24"/>
                <w:szCs w:val="24"/>
              </w:rPr>
            </w:pPr>
            <w:r w:rsidRPr="00A95E93">
              <w:rPr>
                <w:b/>
                <w:bCs/>
                <w:color w:val="ED7D31" w:themeColor="accent2"/>
                <w:sz w:val="24"/>
                <w:szCs w:val="24"/>
              </w:rPr>
              <w:t xml:space="preserve">Policy </w:t>
            </w:r>
            <w:r w:rsidRPr="00590ED7">
              <w:rPr>
                <w:b/>
                <w:bCs/>
                <w:sz w:val="24"/>
                <w:szCs w:val="24"/>
              </w:rPr>
              <w:t>Number</w:t>
            </w:r>
          </w:p>
        </w:tc>
        <w:tc>
          <w:tcPr>
            <w:tcW w:w="2986" w:type="dxa"/>
          </w:tcPr>
          <w:p w14:paraId="1A528661" w14:textId="77777777" w:rsidR="00C62578" w:rsidRPr="00590ED7" w:rsidRDefault="00C62578" w:rsidP="00911576">
            <w:pPr>
              <w:rPr>
                <w:sz w:val="24"/>
                <w:szCs w:val="24"/>
              </w:rPr>
            </w:pPr>
          </w:p>
        </w:tc>
        <w:tc>
          <w:tcPr>
            <w:tcW w:w="1522" w:type="dxa"/>
          </w:tcPr>
          <w:p w14:paraId="6AF9F8F3" w14:textId="77777777" w:rsidR="00C62578" w:rsidRPr="00590ED7" w:rsidRDefault="00C62578" w:rsidP="00911576">
            <w:pPr>
              <w:rPr>
                <w:b/>
                <w:bCs/>
                <w:sz w:val="24"/>
                <w:szCs w:val="24"/>
              </w:rPr>
            </w:pPr>
            <w:r w:rsidRPr="00590ED7">
              <w:rPr>
                <w:b/>
                <w:bCs/>
                <w:sz w:val="24"/>
                <w:szCs w:val="24"/>
              </w:rPr>
              <w:t>Doc.ID</w:t>
            </w:r>
          </w:p>
        </w:tc>
        <w:tc>
          <w:tcPr>
            <w:tcW w:w="2254" w:type="dxa"/>
          </w:tcPr>
          <w:p w14:paraId="12D06795" w14:textId="77777777" w:rsidR="00C62578" w:rsidRPr="00590ED7" w:rsidRDefault="00C62578" w:rsidP="00911576">
            <w:pPr>
              <w:rPr>
                <w:sz w:val="24"/>
                <w:szCs w:val="24"/>
              </w:rPr>
            </w:pPr>
          </w:p>
        </w:tc>
      </w:tr>
      <w:tr w:rsidR="00C62578" w:rsidRPr="00590ED7" w14:paraId="2A604CA6" w14:textId="77777777" w:rsidTr="00911576">
        <w:tc>
          <w:tcPr>
            <w:tcW w:w="2254" w:type="dxa"/>
          </w:tcPr>
          <w:p w14:paraId="27E64FB4" w14:textId="77777777" w:rsidR="00C62578" w:rsidRPr="00590ED7" w:rsidRDefault="00C62578" w:rsidP="00911576">
            <w:pPr>
              <w:rPr>
                <w:b/>
                <w:bCs/>
                <w:sz w:val="24"/>
                <w:szCs w:val="24"/>
              </w:rPr>
            </w:pPr>
            <w:r w:rsidRPr="00590ED7">
              <w:rPr>
                <w:b/>
                <w:bCs/>
                <w:sz w:val="24"/>
                <w:szCs w:val="24"/>
              </w:rPr>
              <w:t>Policy Type:</w:t>
            </w:r>
          </w:p>
        </w:tc>
        <w:tc>
          <w:tcPr>
            <w:tcW w:w="6762" w:type="dxa"/>
            <w:gridSpan w:val="3"/>
          </w:tcPr>
          <w:p w14:paraId="498C6736" w14:textId="77777777" w:rsidR="00C62578" w:rsidRPr="00590ED7" w:rsidRDefault="00C62578" w:rsidP="00911576">
            <w:pPr>
              <w:rPr>
                <w:sz w:val="24"/>
                <w:szCs w:val="24"/>
              </w:rPr>
            </w:pPr>
          </w:p>
        </w:tc>
      </w:tr>
      <w:tr w:rsidR="00C62578" w:rsidRPr="00590ED7" w14:paraId="6AD35719" w14:textId="77777777" w:rsidTr="00911576">
        <w:tc>
          <w:tcPr>
            <w:tcW w:w="2254" w:type="dxa"/>
          </w:tcPr>
          <w:p w14:paraId="4B694177" w14:textId="77777777" w:rsidR="00C62578" w:rsidRPr="00590ED7" w:rsidRDefault="00C62578" w:rsidP="00911576">
            <w:pPr>
              <w:rPr>
                <w:b/>
                <w:bCs/>
                <w:sz w:val="24"/>
                <w:szCs w:val="24"/>
              </w:rPr>
            </w:pPr>
            <w:r w:rsidRPr="00590ED7">
              <w:rPr>
                <w:b/>
                <w:bCs/>
                <w:sz w:val="24"/>
                <w:szCs w:val="24"/>
              </w:rPr>
              <w:t>Policy Owner</w:t>
            </w:r>
          </w:p>
        </w:tc>
        <w:tc>
          <w:tcPr>
            <w:tcW w:w="6762" w:type="dxa"/>
            <w:gridSpan w:val="3"/>
          </w:tcPr>
          <w:p w14:paraId="20013ECF" w14:textId="77777777" w:rsidR="00C62578" w:rsidRPr="00590ED7" w:rsidRDefault="00C62578" w:rsidP="00911576">
            <w:pPr>
              <w:rPr>
                <w:sz w:val="24"/>
                <w:szCs w:val="24"/>
              </w:rPr>
            </w:pPr>
          </w:p>
        </w:tc>
      </w:tr>
      <w:tr w:rsidR="00C62578" w:rsidRPr="00590ED7" w14:paraId="6D09BF14" w14:textId="77777777" w:rsidTr="00911576">
        <w:tc>
          <w:tcPr>
            <w:tcW w:w="2254" w:type="dxa"/>
          </w:tcPr>
          <w:p w14:paraId="48C15A5C" w14:textId="77777777" w:rsidR="00C62578" w:rsidRPr="00590ED7" w:rsidRDefault="00C62578" w:rsidP="00911576">
            <w:pPr>
              <w:rPr>
                <w:b/>
                <w:bCs/>
                <w:sz w:val="24"/>
                <w:szCs w:val="24"/>
              </w:rPr>
            </w:pPr>
            <w:r w:rsidRPr="00590ED7">
              <w:rPr>
                <w:b/>
                <w:bCs/>
                <w:sz w:val="24"/>
                <w:szCs w:val="24"/>
              </w:rPr>
              <w:t>Approval Authority</w:t>
            </w:r>
          </w:p>
        </w:tc>
        <w:tc>
          <w:tcPr>
            <w:tcW w:w="6762" w:type="dxa"/>
            <w:gridSpan w:val="3"/>
          </w:tcPr>
          <w:p w14:paraId="3CB45410" w14:textId="77777777" w:rsidR="00C62578" w:rsidRPr="00590ED7" w:rsidRDefault="00C62578" w:rsidP="00911576">
            <w:pPr>
              <w:rPr>
                <w:sz w:val="24"/>
                <w:szCs w:val="24"/>
              </w:rPr>
            </w:pPr>
            <w:r w:rsidRPr="00590ED7">
              <w:rPr>
                <w:sz w:val="24"/>
                <w:szCs w:val="24"/>
              </w:rPr>
              <w:t xml:space="preserve">Council </w:t>
            </w:r>
          </w:p>
        </w:tc>
      </w:tr>
      <w:tr w:rsidR="00C62578" w:rsidRPr="00590ED7" w14:paraId="20851986" w14:textId="77777777" w:rsidTr="00911576">
        <w:tc>
          <w:tcPr>
            <w:tcW w:w="2254" w:type="dxa"/>
          </w:tcPr>
          <w:p w14:paraId="29F4573B" w14:textId="77777777" w:rsidR="00C62578" w:rsidRPr="00590ED7" w:rsidRDefault="00C62578" w:rsidP="00911576">
            <w:pPr>
              <w:rPr>
                <w:b/>
                <w:bCs/>
                <w:sz w:val="24"/>
                <w:szCs w:val="24"/>
              </w:rPr>
            </w:pPr>
            <w:r w:rsidRPr="00590ED7">
              <w:rPr>
                <w:b/>
                <w:bCs/>
                <w:sz w:val="24"/>
                <w:szCs w:val="24"/>
              </w:rPr>
              <w:t>Approval Date</w:t>
            </w:r>
          </w:p>
        </w:tc>
        <w:tc>
          <w:tcPr>
            <w:tcW w:w="2986" w:type="dxa"/>
          </w:tcPr>
          <w:p w14:paraId="1DC33ABE" w14:textId="77777777" w:rsidR="00C62578" w:rsidRPr="00590ED7" w:rsidRDefault="00C62578" w:rsidP="00911576">
            <w:pPr>
              <w:rPr>
                <w:sz w:val="24"/>
                <w:szCs w:val="24"/>
              </w:rPr>
            </w:pPr>
          </w:p>
        </w:tc>
        <w:tc>
          <w:tcPr>
            <w:tcW w:w="1522" w:type="dxa"/>
          </w:tcPr>
          <w:p w14:paraId="65B1495D" w14:textId="77777777" w:rsidR="00C62578" w:rsidRPr="00590ED7" w:rsidRDefault="00C62578" w:rsidP="00911576">
            <w:pPr>
              <w:rPr>
                <w:b/>
                <w:bCs/>
                <w:sz w:val="24"/>
                <w:szCs w:val="24"/>
              </w:rPr>
            </w:pPr>
            <w:r w:rsidRPr="00590ED7">
              <w:rPr>
                <w:b/>
                <w:bCs/>
                <w:sz w:val="24"/>
                <w:szCs w:val="24"/>
              </w:rPr>
              <w:t>Resolution Number</w:t>
            </w:r>
          </w:p>
        </w:tc>
        <w:tc>
          <w:tcPr>
            <w:tcW w:w="2254" w:type="dxa"/>
          </w:tcPr>
          <w:p w14:paraId="5D58536B" w14:textId="77777777" w:rsidR="00C62578" w:rsidRPr="00590ED7" w:rsidRDefault="00C62578" w:rsidP="00911576">
            <w:pPr>
              <w:rPr>
                <w:sz w:val="24"/>
                <w:szCs w:val="24"/>
              </w:rPr>
            </w:pPr>
          </w:p>
        </w:tc>
      </w:tr>
    </w:tbl>
    <w:p w14:paraId="2D30E181" w14:textId="77777777" w:rsidR="00C62578" w:rsidRDefault="00C62578" w:rsidP="00C62578">
      <w:pPr>
        <w:pStyle w:val="Heading1"/>
      </w:pPr>
      <w:r>
        <w:t>Purpose</w:t>
      </w:r>
    </w:p>
    <w:p w14:paraId="4747D1B4" w14:textId="256FE9C2" w:rsidR="00C62578" w:rsidRPr="00173537" w:rsidRDefault="00C62578" w:rsidP="00C62578">
      <w:r>
        <w:t xml:space="preserve">This </w:t>
      </w:r>
      <w:r w:rsidRPr="002572F8">
        <w:rPr>
          <w:color w:val="ED7D31" w:themeColor="accent2"/>
        </w:rPr>
        <w:t>&lt;</w:t>
      </w:r>
      <w:r w:rsidR="00922762">
        <w:rPr>
          <w:color w:val="ED7D31" w:themeColor="accent2"/>
        </w:rPr>
        <w:t>policy</w:t>
      </w:r>
      <w:r w:rsidRPr="002572F8">
        <w:rPr>
          <w:color w:val="ED7D31" w:themeColor="accent2"/>
        </w:rPr>
        <w:t>&gt;</w:t>
      </w:r>
      <w:r>
        <w:t xml:space="preserve"> </w:t>
      </w:r>
      <w:r w:rsidR="00922762">
        <w:t xml:space="preserve">guides and assists employees in identifying and managing conflicts of interest to support ethical decision making and </w:t>
      </w:r>
      <w:r w:rsidR="00E67EA3">
        <w:t>C</w:t>
      </w:r>
      <w:r w:rsidR="00922762">
        <w:t>ouncil’s commitment to conducting business and delivering services with integrity, transparency and in an impartial manner.</w:t>
      </w:r>
    </w:p>
    <w:p w14:paraId="2944B6F1" w14:textId="77777777" w:rsidR="00C62578" w:rsidRDefault="00C62578" w:rsidP="00C62578">
      <w:pPr>
        <w:pStyle w:val="Heading1"/>
      </w:pPr>
      <w:r>
        <w:t>Scope</w:t>
      </w:r>
    </w:p>
    <w:p w14:paraId="4C2AF924" w14:textId="51678A7F" w:rsidR="00C62578" w:rsidRDefault="00C62578" w:rsidP="00922762">
      <w:pPr>
        <w:autoSpaceDE w:val="0"/>
        <w:autoSpaceDN w:val="0"/>
        <w:adjustRightInd w:val="0"/>
        <w:spacing w:after="0" w:line="240" w:lineRule="auto"/>
      </w:pPr>
      <w:r>
        <w:t xml:space="preserve">The </w:t>
      </w:r>
      <w:r w:rsidRPr="002572F8">
        <w:rPr>
          <w:color w:val="ED7D31" w:themeColor="accent2"/>
        </w:rPr>
        <w:t>&lt;</w:t>
      </w:r>
      <w:r w:rsidR="00922762">
        <w:rPr>
          <w:color w:val="ED7D31" w:themeColor="accent2"/>
        </w:rPr>
        <w:t>policy</w:t>
      </w:r>
      <w:r w:rsidRPr="002572F8">
        <w:rPr>
          <w:color w:val="ED7D31" w:themeColor="accent2"/>
        </w:rPr>
        <w:t>&gt;</w:t>
      </w:r>
      <w:r>
        <w:t xml:space="preserve"> applies to</w:t>
      </w:r>
      <w:r w:rsidR="00E9740A">
        <w:t xml:space="preserve"> </w:t>
      </w:r>
      <w:r w:rsidR="00922762">
        <w:t xml:space="preserve">all employees of Council </w:t>
      </w:r>
      <w:r w:rsidR="00922762" w:rsidRPr="00922762">
        <w:t xml:space="preserve">to manage instances where their private or personal interests may be contrary to those of the organisation or have the capacity to conflict with the </w:t>
      </w:r>
      <w:r w:rsidR="00113C73">
        <w:t>employee’s</w:t>
      </w:r>
      <w:r w:rsidR="00113C73" w:rsidRPr="00922762">
        <w:t xml:space="preserve"> </w:t>
      </w:r>
      <w:r w:rsidR="00922762" w:rsidRPr="00922762">
        <w:t>duty to act in the public interest.</w:t>
      </w:r>
    </w:p>
    <w:p w14:paraId="27A4BFC2" w14:textId="77777777" w:rsidR="00C62578" w:rsidRDefault="00C62578" w:rsidP="00C62578">
      <w:pPr>
        <w:pStyle w:val="Heading1"/>
      </w:pPr>
      <w:r>
        <w:t>Definitions</w:t>
      </w:r>
    </w:p>
    <w:tbl>
      <w:tblPr>
        <w:tblStyle w:val="TableGrid"/>
        <w:tblW w:w="0" w:type="auto"/>
        <w:tblLook w:val="04A0" w:firstRow="1" w:lastRow="0" w:firstColumn="1" w:lastColumn="0" w:noHBand="0" w:noVBand="1"/>
      </w:tblPr>
      <w:tblGrid>
        <w:gridCol w:w="2547"/>
        <w:gridCol w:w="6469"/>
      </w:tblGrid>
      <w:tr w:rsidR="00C62578" w:rsidRPr="002572F8" w14:paraId="20BED74E" w14:textId="77777777" w:rsidTr="00911576">
        <w:trPr>
          <w:tblHeader/>
        </w:trPr>
        <w:tc>
          <w:tcPr>
            <w:tcW w:w="2547" w:type="dxa"/>
          </w:tcPr>
          <w:p w14:paraId="765D3B9B" w14:textId="77777777" w:rsidR="00C62578" w:rsidRPr="002572F8" w:rsidRDefault="00C62578" w:rsidP="00911576">
            <w:pPr>
              <w:rPr>
                <w:b/>
                <w:bCs/>
              </w:rPr>
            </w:pPr>
            <w:r w:rsidRPr="002572F8">
              <w:rPr>
                <w:b/>
                <w:bCs/>
              </w:rPr>
              <w:t>TERM</w:t>
            </w:r>
          </w:p>
        </w:tc>
        <w:tc>
          <w:tcPr>
            <w:tcW w:w="6469" w:type="dxa"/>
          </w:tcPr>
          <w:p w14:paraId="71C4AA1C" w14:textId="77777777" w:rsidR="00C62578" w:rsidRPr="002572F8" w:rsidRDefault="00C62578" w:rsidP="00911576">
            <w:pPr>
              <w:rPr>
                <w:b/>
                <w:bCs/>
              </w:rPr>
            </w:pPr>
            <w:r w:rsidRPr="002572F8">
              <w:rPr>
                <w:b/>
                <w:bCs/>
              </w:rPr>
              <w:t>DEFIN</w:t>
            </w:r>
            <w:r>
              <w:rPr>
                <w:b/>
                <w:bCs/>
              </w:rPr>
              <w:t>I</w:t>
            </w:r>
            <w:r w:rsidRPr="002572F8">
              <w:rPr>
                <w:b/>
                <w:bCs/>
              </w:rPr>
              <w:t>TION</w:t>
            </w:r>
          </w:p>
        </w:tc>
      </w:tr>
      <w:tr w:rsidR="0004696B" w:rsidRPr="0004696B" w14:paraId="028FDCB2" w14:textId="77777777" w:rsidTr="00911576">
        <w:trPr>
          <w:tblHeader/>
        </w:trPr>
        <w:tc>
          <w:tcPr>
            <w:tcW w:w="2547" w:type="dxa"/>
          </w:tcPr>
          <w:p w14:paraId="54568ACD" w14:textId="77777777" w:rsidR="0004696B" w:rsidRPr="0004696B" w:rsidRDefault="0004696B" w:rsidP="00911576">
            <w:r w:rsidRPr="0004696B">
              <w:t>Actual</w:t>
            </w:r>
          </w:p>
        </w:tc>
        <w:tc>
          <w:tcPr>
            <w:tcW w:w="6469" w:type="dxa"/>
          </w:tcPr>
          <w:p w14:paraId="1717AE8C" w14:textId="77777777" w:rsidR="0004696B" w:rsidRPr="0004696B" w:rsidRDefault="0004696B" w:rsidP="00911576">
            <w:r>
              <w:t>involves a direct conflict between a person/employee’s current duties and responsibilities and their existing private interest</w:t>
            </w:r>
          </w:p>
        </w:tc>
      </w:tr>
      <w:tr w:rsidR="00C62578" w14:paraId="37DA039A" w14:textId="77777777" w:rsidTr="00911576">
        <w:tc>
          <w:tcPr>
            <w:tcW w:w="2547" w:type="dxa"/>
          </w:tcPr>
          <w:p w14:paraId="6412561A" w14:textId="77777777" w:rsidR="00C62578" w:rsidRDefault="00C62578" w:rsidP="00911576">
            <w:r>
              <w:t>Council</w:t>
            </w:r>
          </w:p>
        </w:tc>
        <w:tc>
          <w:tcPr>
            <w:tcW w:w="6469" w:type="dxa"/>
          </w:tcPr>
          <w:p w14:paraId="2E7E218E" w14:textId="77777777" w:rsidR="00C62578" w:rsidRDefault="00C62578" w:rsidP="00911576">
            <w:r w:rsidRPr="002572F8">
              <w:rPr>
                <w:color w:val="ED7D31" w:themeColor="accent2"/>
              </w:rPr>
              <w:t>&lt;</w:t>
            </w:r>
            <w:r>
              <w:rPr>
                <w:color w:val="ED7D31" w:themeColor="accent2"/>
              </w:rPr>
              <w:t>insert Council name&gt;</w:t>
            </w:r>
          </w:p>
        </w:tc>
      </w:tr>
      <w:tr w:rsidR="0004696B" w14:paraId="6853D323" w14:textId="77777777" w:rsidTr="00911576">
        <w:tc>
          <w:tcPr>
            <w:tcW w:w="2547" w:type="dxa"/>
          </w:tcPr>
          <w:p w14:paraId="41C8FB92" w14:textId="77777777" w:rsidR="0004696B" w:rsidRDefault="0004696B" w:rsidP="00911576">
            <w:r>
              <w:t>Conflict of Interest</w:t>
            </w:r>
          </w:p>
        </w:tc>
        <w:tc>
          <w:tcPr>
            <w:tcW w:w="6469" w:type="dxa"/>
          </w:tcPr>
          <w:p w14:paraId="5667D499" w14:textId="77777777" w:rsidR="0004696B" w:rsidRPr="002572F8" w:rsidRDefault="0004696B" w:rsidP="00911576">
            <w:pPr>
              <w:rPr>
                <w:color w:val="ED7D31" w:themeColor="accent2"/>
              </w:rPr>
            </w:pPr>
            <w:r>
              <w:t>involves a conflict between the public duty and private interests in which an employee has private-capacity interests which could improperly influence the performance of their official duties and responsibilities</w:t>
            </w:r>
          </w:p>
        </w:tc>
      </w:tr>
      <w:tr w:rsidR="00922762" w14:paraId="79E7A436" w14:textId="77777777" w:rsidTr="00911576">
        <w:tc>
          <w:tcPr>
            <w:tcW w:w="2547" w:type="dxa"/>
          </w:tcPr>
          <w:p w14:paraId="72D7D295" w14:textId="77777777" w:rsidR="00922762" w:rsidRPr="00F34D10" w:rsidRDefault="00922762" w:rsidP="00911576">
            <w:r w:rsidRPr="00F34D10">
              <w:t>Employee</w:t>
            </w:r>
            <w:r w:rsidR="003E552B" w:rsidRPr="00F34D10">
              <w:t>/</w:t>
            </w:r>
            <w:r w:rsidRPr="00F34D10">
              <w:t>s</w:t>
            </w:r>
          </w:p>
        </w:tc>
        <w:tc>
          <w:tcPr>
            <w:tcW w:w="6469" w:type="dxa"/>
          </w:tcPr>
          <w:p w14:paraId="35BEF5C7" w14:textId="4CDDC2A2" w:rsidR="00F34D10" w:rsidRPr="00687203" w:rsidRDefault="00F34D10" w:rsidP="00911576">
            <w:pPr>
              <w:rPr>
                <w:color w:val="ED7D31" w:themeColor="accent2"/>
              </w:rPr>
            </w:pPr>
            <w:r w:rsidRPr="00F34D10">
              <w:t xml:space="preserve">Refers to full time, part time, casual, permanent or temporary employees, including those under a contract or labour hire company </w:t>
            </w:r>
            <w:r w:rsidR="003D611A">
              <w:t>that carr</w:t>
            </w:r>
            <w:r w:rsidR="00593112">
              <w:t>y</w:t>
            </w:r>
            <w:r w:rsidR="003D611A">
              <w:t xml:space="preserve"> out work for council</w:t>
            </w:r>
          </w:p>
        </w:tc>
      </w:tr>
      <w:tr w:rsidR="00C62578" w14:paraId="7985C501" w14:textId="77777777" w:rsidTr="00911576">
        <w:tc>
          <w:tcPr>
            <w:tcW w:w="2547" w:type="dxa"/>
          </w:tcPr>
          <w:p w14:paraId="4693B26A" w14:textId="77777777" w:rsidR="00C62578" w:rsidRDefault="00C62578" w:rsidP="00911576">
            <w:r>
              <w:t>LGA</w:t>
            </w:r>
          </w:p>
        </w:tc>
        <w:tc>
          <w:tcPr>
            <w:tcW w:w="6469" w:type="dxa"/>
          </w:tcPr>
          <w:p w14:paraId="2B305DA8" w14:textId="77777777" w:rsidR="00C62578" w:rsidRPr="00A70901" w:rsidRDefault="00C62578" w:rsidP="00911576">
            <w:pPr>
              <w:rPr>
                <w:i/>
                <w:iCs/>
              </w:rPr>
            </w:pPr>
            <w:r w:rsidRPr="00A70901">
              <w:rPr>
                <w:i/>
                <w:iCs/>
              </w:rPr>
              <w:t>Local Government Act 2009</w:t>
            </w:r>
          </w:p>
        </w:tc>
      </w:tr>
      <w:tr w:rsidR="00C62578" w14:paraId="2AC6F56D" w14:textId="77777777" w:rsidTr="00911576">
        <w:tc>
          <w:tcPr>
            <w:tcW w:w="2547" w:type="dxa"/>
          </w:tcPr>
          <w:p w14:paraId="1BE3A270" w14:textId="77777777" w:rsidR="00C62578" w:rsidRDefault="00C62578" w:rsidP="00911576">
            <w:r>
              <w:t>LGR</w:t>
            </w:r>
          </w:p>
        </w:tc>
        <w:tc>
          <w:tcPr>
            <w:tcW w:w="6469" w:type="dxa"/>
          </w:tcPr>
          <w:p w14:paraId="06DB6BE5" w14:textId="77777777" w:rsidR="00C62578" w:rsidRPr="00A70901" w:rsidRDefault="00C62578" w:rsidP="00911576">
            <w:pPr>
              <w:rPr>
                <w:i/>
                <w:iCs/>
              </w:rPr>
            </w:pPr>
            <w:r>
              <w:rPr>
                <w:i/>
                <w:iCs/>
              </w:rPr>
              <w:t>Local Government Regulation 2012</w:t>
            </w:r>
          </w:p>
        </w:tc>
      </w:tr>
      <w:tr w:rsidR="0004696B" w14:paraId="458485FF" w14:textId="77777777" w:rsidTr="00911576">
        <w:tc>
          <w:tcPr>
            <w:tcW w:w="2547" w:type="dxa"/>
          </w:tcPr>
          <w:p w14:paraId="2DC22A25" w14:textId="77777777" w:rsidR="0004696B" w:rsidRDefault="0004696B" w:rsidP="00911576">
            <w:r>
              <w:t xml:space="preserve">Perceived </w:t>
            </w:r>
          </w:p>
        </w:tc>
        <w:tc>
          <w:tcPr>
            <w:tcW w:w="6469" w:type="dxa"/>
          </w:tcPr>
          <w:p w14:paraId="0CD7953A" w14:textId="1439DA65" w:rsidR="0004696B" w:rsidRDefault="0004696B" w:rsidP="00911576">
            <w:pPr>
              <w:rPr>
                <w:i/>
                <w:iCs/>
              </w:rPr>
            </w:pPr>
            <w:r>
              <w:t>where it could be perceived, or appears, that a person/employee</w:t>
            </w:r>
            <w:r w:rsidR="00593112">
              <w:t>’s</w:t>
            </w:r>
            <w:r>
              <w:t xml:space="preserve"> private interests could improperly influence the performance of their public duties – whether or not this is in fact the case</w:t>
            </w:r>
          </w:p>
        </w:tc>
      </w:tr>
      <w:tr w:rsidR="0004696B" w14:paraId="7047188C" w14:textId="77777777" w:rsidTr="00911576">
        <w:tc>
          <w:tcPr>
            <w:tcW w:w="2547" w:type="dxa"/>
          </w:tcPr>
          <w:p w14:paraId="08155CC2" w14:textId="77777777" w:rsidR="0004696B" w:rsidRDefault="0004696B" w:rsidP="00911576">
            <w:r>
              <w:t>Potential</w:t>
            </w:r>
          </w:p>
        </w:tc>
        <w:tc>
          <w:tcPr>
            <w:tcW w:w="6469" w:type="dxa"/>
          </w:tcPr>
          <w:p w14:paraId="36943F24" w14:textId="77777777" w:rsidR="0004696B" w:rsidRDefault="0004696B" w:rsidP="00911576">
            <w:pPr>
              <w:rPr>
                <w:i/>
                <w:iCs/>
              </w:rPr>
            </w:pPr>
            <w:r>
              <w:t>arises where a person/employee has private interests that could interfere with their official duties in the future.</w:t>
            </w:r>
          </w:p>
        </w:tc>
      </w:tr>
    </w:tbl>
    <w:p w14:paraId="7285B635" w14:textId="77777777" w:rsidR="00C62578" w:rsidRDefault="00C62578" w:rsidP="00C62578"/>
    <w:p w14:paraId="372DD918" w14:textId="77777777" w:rsidR="007851AA" w:rsidRDefault="007851AA">
      <w:pPr>
        <w:rPr>
          <w:rFonts w:asciiTheme="majorHAnsi" w:eastAsiaTheme="majorEastAsia" w:hAnsiTheme="majorHAnsi" w:cstheme="majorBidi"/>
          <w:color w:val="2F5496" w:themeColor="accent1" w:themeShade="BF"/>
          <w:sz w:val="32"/>
          <w:szCs w:val="32"/>
        </w:rPr>
      </w:pPr>
      <w:r>
        <w:br w:type="page"/>
      </w:r>
    </w:p>
    <w:p w14:paraId="0EABF922" w14:textId="7BA65593" w:rsidR="00C62578" w:rsidRDefault="00C62578" w:rsidP="00C62578">
      <w:pPr>
        <w:pStyle w:val="Heading1"/>
      </w:pPr>
      <w:r>
        <w:lastRenderedPageBreak/>
        <w:t xml:space="preserve">Policy </w:t>
      </w:r>
      <w:r w:rsidR="005305C7">
        <w:t>Statement</w:t>
      </w:r>
    </w:p>
    <w:p w14:paraId="768133C9" w14:textId="77777777" w:rsidR="005305C7" w:rsidRDefault="00E11BBE" w:rsidP="00E11BBE">
      <w:r>
        <w:t>Council is committed to conducting business and delivering services in a fair, transparent, accountable and impartial manner.</w:t>
      </w:r>
    </w:p>
    <w:p w14:paraId="55ACAD30" w14:textId="0DFD2896" w:rsidR="008333E9" w:rsidRPr="009A50A4" w:rsidRDefault="008333E9" w:rsidP="008333E9">
      <w:r w:rsidRPr="00CF79FC">
        <w:t xml:space="preserve">All </w:t>
      </w:r>
      <w:r w:rsidRPr="009A50A4">
        <w:t>employees of council must consider the public interest when carrying out the</w:t>
      </w:r>
      <w:r w:rsidR="0047507C">
        <w:t>ir</w:t>
      </w:r>
      <w:r w:rsidRPr="009A50A4">
        <w:t xml:space="preserve"> official duties and place this above their own private or personal interests.</w:t>
      </w:r>
    </w:p>
    <w:p w14:paraId="5C7CFE5A" w14:textId="77777777" w:rsidR="00981CB3" w:rsidRDefault="00981CB3" w:rsidP="00981CB3">
      <w:r>
        <w:t xml:space="preserve">A conflict of interest exists where a reasonable and informed person would perceive than an </w:t>
      </w:r>
      <w:r w:rsidR="00114B8B">
        <w:t>e</w:t>
      </w:r>
      <w:r>
        <w:t>mployee could be influenced by a private interest when carrying out their public duty.</w:t>
      </w:r>
    </w:p>
    <w:p w14:paraId="42369C76" w14:textId="77777777" w:rsidR="00E11BBE" w:rsidRDefault="00E11BBE" w:rsidP="00E11BBE">
      <w:r>
        <w:t>There are three types of Conflicts that can occur:</w:t>
      </w:r>
    </w:p>
    <w:p w14:paraId="441D2592" w14:textId="77777777" w:rsidR="00E11BBE" w:rsidRPr="00E11BBE" w:rsidRDefault="00E11BBE" w:rsidP="00E11BBE">
      <w:pPr>
        <w:pStyle w:val="ListParagraph"/>
        <w:numPr>
          <w:ilvl w:val="0"/>
          <w:numId w:val="16"/>
        </w:numPr>
      </w:pPr>
      <w:r>
        <w:t>actual, perceived and potential</w:t>
      </w:r>
      <w:r w:rsidR="00CF79FC">
        <w:t>.</w:t>
      </w:r>
    </w:p>
    <w:p w14:paraId="2D372F8D" w14:textId="77777777" w:rsidR="00114B8B" w:rsidRDefault="00114B8B" w:rsidP="00114B8B">
      <w:r>
        <w:t>The perception of a conflict can be as damaging as an actual conflict, because it undermines public confidence in the integrity of Council and Employees.</w:t>
      </w:r>
    </w:p>
    <w:p w14:paraId="39280213" w14:textId="77777777" w:rsidR="00BE62C7" w:rsidRPr="009A50A4" w:rsidRDefault="00BE62C7" w:rsidP="005305C7">
      <w:r w:rsidRPr="009A50A4">
        <w:t xml:space="preserve">Personal interests may be pecuniary or non-pecuniary: </w:t>
      </w:r>
    </w:p>
    <w:p w14:paraId="4EE4622D" w14:textId="77777777" w:rsidR="00BE62C7" w:rsidRPr="009A50A4" w:rsidRDefault="00BE62C7" w:rsidP="00BE62C7">
      <w:pPr>
        <w:pStyle w:val="ListParagraph"/>
        <w:numPr>
          <w:ilvl w:val="0"/>
          <w:numId w:val="17"/>
        </w:numPr>
      </w:pPr>
      <w:r w:rsidRPr="009A50A4">
        <w:t xml:space="preserve">A pecuniary interest refers to an actual or potential financial gain or loss for the person, their family, friends, or close associates. </w:t>
      </w:r>
    </w:p>
    <w:p w14:paraId="2A9738EF" w14:textId="77777777" w:rsidR="007239FE" w:rsidRPr="009A50A4" w:rsidRDefault="00BE62C7" w:rsidP="00BE62C7">
      <w:pPr>
        <w:pStyle w:val="ListParagraph"/>
        <w:numPr>
          <w:ilvl w:val="0"/>
          <w:numId w:val="17"/>
        </w:numPr>
      </w:pPr>
      <w:r w:rsidRPr="009A50A4">
        <w:t>A non-pecuniary interest refers to an interest that is not financial or monetary but arises from such things as personal relationships, beliefs, or involvement in social, cultural, religious, or sporting activities.</w:t>
      </w:r>
    </w:p>
    <w:p w14:paraId="066FE179" w14:textId="77777777" w:rsidR="007239FE" w:rsidRDefault="007239FE" w:rsidP="007239FE">
      <w:pPr>
        <w:pStyle w:val="Heading2"/>
      </w:pPr>
      <w:r>
        <w:t>Responsibilit</w:t>
      </w:r>
      <w:r w:rsidR="00147612">
        <w:t>ies</w:t>
      </w:r>
    </w:p>
    <w:p w14:paraId="0D299EB9" w14:textId="77777777" w:rsidR="007239FE" w:rsidRDefault="007239FE" w:rsidP="00147612">
      <w:pPr>
        <w:pStyle w:val="Heading4"/>
      </w:pPr>
      <w:r>
        <w:t>Chief Executive Officer</w:t>
      </w:r>
    </w:p>
    <w:p w14:paraId="10BAE8CA" w14:textId="77777777" w:rsidR="00506F23" w:rsidRPr="00506F23" w:rsidRDefault="00506F23" w:rsidP="00506F23">
      <w:r w:rsidRPr="00506F23">
        <w:t>The Chief Executive Officer, or delegate, must:</w:t>
      </w:r>
    </w:p>
    <w:p w14:paraId="6D814F18" w14:textId="77777777" w:rsidR="00506F23" w:rsidRPr="00506F23" w:rsidRDefault="00506F23" w:rsidP="00506F23">
      <w:pPr>
        <w:pStyle w:val="ListParagraph"/>
        <w:numPr>
          <w:ilvl w:val="0"/>
          <w:numId w:val="16"/>
        </w:numPr>
      </w:pPr>
      <w:r w:rsidRPr="00506F23">
        <w:t xml:space="preserve">maintain a register of disclosed conflicts for Council employees; </w:t>
      </w:r>
    </w:p>
    <w:p w14:paraId="3DF0D308" w14:textId="77777777" w:rsidR="0047507C" w:rsidRDefault="00506F23" w:rsidP="00506F23">
      <w:pPr>
        <w:pStyle w:val="ListParagraph"/>
        <w:numPr>
          <w:ilvl w:val="0"/>
          <w:numId w:val="16"/>
        </w:numPr>
      </w:pPr>
      <w:r w:rsidRPr="00506F23">
        <w:t>ensure the policy is enforced;</w:t>
      </w:r>
    </w:p>
    <w:p w14:paraId="14C43106" w14:textId="3543C590" w:rsidR="00506F23" w:rsidRPr="00506F23" w:rsidRDefault="0047507C" w:rsidP="00506F23">
      <w:pPr>
        <w:pStyle w:val="ListParagraph"/>
        <w:numPr>
          <w:ilvl w:val="0"/>
          <w:numId w:val="16"/>
        </w:numPr>
      </w:pPr>
      <w:r>
        <w:t>provide training and awareness for empl</w:t>
      </w:r>
      <w:r w:rsidR="002A2056">
        <w:t>oyees on conflict of interest issues;</w:t>
      </w:r>
      <w:r w:rsidR="00506F23" w:rsidRPr="00506F23">
        <w:t xml:space="preserve"> and</w:t>
      </w:r>
    </w:p>
    <w:p w14:paraId="45997CD6" w14:textId="77777777" w:rsidR="00506F23" w:rsidRPr="00506F23" w:rsidRDefault="00506F23" w:rsidP="00506F23">
      <w:pPr>
        <w:pStyle w:val="ListParagraph"/>
        <w:numPr>
          <w:ilvl w:val="0"/>
          <w:numId w:val="16"/>
        </w:numPr>
      </w:pPr>
      <w:r w:rsidRPr="00506F23">
        <w:t xml:space="preserve">arrange investigations of possible conflicts of interest. </w:t>
      </w:r>
    </w:p>
    <w:p w14:paraId="2C56E66D" w14:textId="77777777" w:rsidR="008333E9" w:rsidRDefault="008333E9" w:rsidP="007239FE">
      <w:r>
        <w:t xml:space="preserve">The </w:t>
      </w:r>
      <w:r w:rsidRPr="008333E9">
        <w:rPr>
          <w:color w:val="ED7D31" w:themeColor="accent2"/>
        </w:rPr>
        <w:t xml:space="preserve">&lt;position&gt; </w:t>
      </w:r>
      <w:r>
        <w:t>ensures the polic</w:t>
      </w:r>
      <w:r w:rsidR="006B5C72">
        <w:t xml:space="preserve">y and procedures </w:t>
      </w:r>
      <w:r>
        <w:t xml:space="preserve">are current, oversees and enforces the policies and refers possible breaches to the Chief Executive Officer if required. </w:t>
      </w:r>
    </w:p>
    <w:p w14:paraId="1CD29E6B" w14:textId="77777777" w:rsidR="00147612" w:rsidRDefault="008333E9" w:rsidP="00147612">
      <w:pPr>
        <w:pStyle w:val="Heading4"/>
      </w:pPr>
      <w:r>
        <w:t>All levels of Management</w:t>
      </w:r>
    </w:p>
    <w:p w14:paraId="571438E6" w14:textId="77777777" w:rsidR="008333E9" w:rsidRDefault="008333E9" w:rsidP="008333E9">
      <w:r>
        <w:t xml:space="preserve">Directors, Managers and Supervisors are responsible for implementing this Policy, setting an example in the area of their own conflicts of interest and advising employees on appropriate ways to report and or manage their conflicts of interest. </w:t>
      </w:r>
    </w:p>
    <w:p w14:paraId="3DD7BB14" w14:textId="77777777" w:rsidR="008333E9" w:rsidRPr="008333E9" w:rsidRDefault="008333E9" w:rsidP="008333E9">
      <w:pPr>
        <w:autoSpaceDE w:val="0"/>
        <w:autoSpaceDN w:val="0"/>
        <w:adjustRightInd w:val="0"/>
        <w:spacing w:after="0" w:line="240" w:lineRule="auto"/>
      </w:pPr>
      <w:r w:rsidRPr="008333E9">
        <w:t>All levels of management will:</w:t>
      </w:r>
    </w:p>
    <w:p w14:paraId="1830BAD8" w14:textId="37F27FA7" w:rsidR="008333E9" w:rsidRPr="008333E9" w:rsidRDefault="008333E9" w:rsidP="008333E9">
      <w:pPr>
        <w:pStyle w:val="ListParagraph"/>
        <w:numPr>
          <w:ilvl w:val="0"/>
          <w:numId w:val="19"/>
        </w:numPr>
      </w:pPr>
      <w:r w:rsidRPr="008333E9">
        <w:t xml:space="preserve">Encourage a culture of disclosure within </w:t>
      </w:r>
      <w:r w:rsidR="00593112">
        <w:t>C</w:t>
      </w:r>
      <w:r w:rsidRPr="008333E9">
        <w:t>ouncil;</w:t>
      </w:r>
    </w:p>
    <w:p w14:paraId="207CBC60" w14:textId="77777777" w:rsidR="008333E9" w:rsidRPr="008333E9" w:rsidRDefault="008333E9" w:rsidP="008333E9">
      <w:pPr>
        <w:pStyle w:val="ListParagraph"/>
        <w:numPr>
          <w:ilvl w:val="0"/>
          <w:numId w:val="19"/>
        </w:numPr>
      </w:pPr>
      <w:r w:rsidRPr="008333E9">
        <w:t>Regularly remind employees of their obligation to identify and declare conflicts of interest;</w:t>
      </w:r>
    </w:p>
    <w:p w14:paraId="6C53626C" w14:textId="77777777" w:rsidR="008333E9" w:rsidRPr="008333E9" w:rsidRDefault="008333E9" w:rsidP="008333E9">
      <w:pPr>
        <w:pStyle w:val="ListParagraph"/>
        <w:numPr>
          <w:ilvl w:val="0"/>
          <w:numId w:val="19"/>
        </w:numPr>
      </w:pPr>
      <w:r w:rsidRPr="008333E9">
        <w:t>Actively liaise with employees to resolve and manage conflicts of interest;</w:t>
      </w:r>
    </w:p>
    <w:p w14:paraId="55F3C83D" w14:textId="77777777" w:rsidR="008333E9" w:rsidRPr="008333E9" w:rsidRDefault="008333E9" w:rsidP="008333E9">
      <w:pPr>
        <w:pStyle w:val="ListParagraph"/>
        <w:numPr>
          <w:ilvl w:val="0"/>
          <w:numId w:val="19"/>
        </w:numPr>
      </w:pPr>
      <w:r w:rsidRPr="008333E9">
        <w:t>Monitor their employee’s work to develop management strategies to minimize conflicts; and</w:t>
      </w:r>
    </w:p>
    <w:p w14:paraId="0455A182" w14:textId="77777777" w:rsidR="00147612" w:rsidRDefault="008333E9" w:rsidP="008333E9">
      <w:pPr>
        <w:pStyle w:val="ListParagraph"/>
        <w:numPr>
          <w:ilvl w:val="0"/>
          <w:numId w:val="19"/>
        </w:numPr>
      </w:pPr>
      <w:r w:rsidRPr="008333E9">
        <w:t>Maintain confidentiality with regards to conflict of interest declarations.</w:t>
      </w:r>
    </w:p>
    <w:p w14:paraId="6421A76E" w14:textId="77777777" w:rsidR="00147612" w:rsidRDefault="008333E9" w:rsidP="00147612">
      <w:pPr>
        <w:pStyle w:val="Heading4"/>
      </w:pPr>
      <w:r>
        <w:lastRenderedPageBreak/>
        <w:t xml:space="preserve">All </w:t>
      </w:r>
      <w:r w:rsidR="00147612">
        <w:t>Employees</w:t>
      </w:r>
    </w:p>
    <w:p w14:paraId="7A21116E" w14:textId="50CCFA3F" w:rsidR="008333E9" w:rsidRDefault="008333E9" w:rsidP="008333E9">
      <w:r>
        <w:t>Employees are responsible for adhering to the requirements of this Policy and supporting procedure, being aware and assessing their own conflicts of interest, promptly identifying and disclosing conflicts of interest and monitoring declared conflicts of interest.</w:t>
      </w:r>
    </w:p>
    <w:p w14:paraId="61A6AD6F" w14:textId="77777777" w:rsidR="00C62578" w:rsidRDefault="00C62578" w:rsidP="00C62578">
      <w:pPr>
        <w:pStyle w:val="Heading2"/>
      </w:pPr>
      <w:r>
        <w:t xml:space="preserve">Recordkeeping </w:t>
      </w:r>
    </w:p>
    <w:p w14:paraId="52585A8F" w14:textId="77777777" w:rsidR="00CF79FC" w:rsidRDefault="00CF79FC" w:rsidP="00CF79FC">
      <w:r>
        <w:t>Conflict of Interest are to be made on the approved form, see Reference Documents below.</w:t>
      </w:r>
    </w:p>
    <w:p w14:paraId="2296F49F" w14:textId="77777777" w:rsidR="000463FD" w:rsidRPr="000463FD" w:rsidRDefault="00CF79FC" w:rsidP="00CF79FC">
      <w:r w:rsidRPr="0084090B">
        <w:t xml:space="preserve">All reported conflicts of interest must be recorded in the </w:t>
      </w:r>
      <w:r w:rsidR="0084090B" w:rsidRPr="0084090B">
        <w:t>Conflict-of-Interest</w:t>
      </w:r>
      <w:r w:rsidRPr="0084090B">
        <w:t xml:space="preserve"> Register maintained by </w:t>
      </w:r>
      <w:r w:rsidRPr="00CF79FC">
        <w:rPr>
          <w:color w:val="ED7D31" w:themeColor="accent2"/>
        </w:rPr>
        <w:t>&lt;position/branch&gt;</w:t>
      </w:r>
      <w:r>
        <w:rPr>
          <w:color w:val="ED7D31" w:themeColor="accent2"/>
        </w:rPr>
        <w:t xml:space="preserve"> </w:t>
      </w:r>
      <w:r w:rsidRPr="00CF79FC">
        <w:t>and</w:t>
      </w:r>
      <w:r w:rsidR="00E11BBE" w:rsidRPr="00CF79FC">
        <w:t xml:space="preserve"> </w:t>
      </w:r>
      <w:r w:rsidR="00E11BBE">
        <w:t>store</w:t>
      </w:r>
      <w:r>
        <w:t>d</w:t>
      </w:r>
      <w:r w:rsidR="00E11BBE">
        <w:t xml:space="preserve"> according to Council’s records management policy and procedures</w:t>
      </w:r>
      <w:r w:rsidR="000463FD">
        <w:t xml:space="preserve">. </w:t>
      </w:r>
    </w:p>
    <w:p w14:paraId="143334FB" w14:textId="77777777" w:rsidR="00BF667E" w:rsidRDefault="00147612" w:rsidP="00BF667E">
      <w:pPr>
        <w:pStyle w:val="Heading2"/>
      </w:pPr>
      <w:r>
        <w:t>Non-Compliance</w:t>
      </w:r>
    </w:p>
    <w:p w14:paraId="0B844406" w14:textId="77777777" w:rsidR="00147612" w:rsidRDefault="00147612" w:rsidP="00BF667E">
      <w:pPr>
        <w:tabs>
          <w:tab w:val="left" w:pos="709"/>
        </w:tabs>
        <w:jc w:val="both"/>
      </w:pPr>
      <w:r>
        <w:t xml:space="preserve">Non-compliance with the provisions of this policy may result in disciplinary action being taken in accordance with Council’s policies and procedures.  </w:t>
      </w:r>
    </w:p>
    <w:p w14:paraId="6C324E8D" w14:textId="77777777" w:rsidR="00C62578" w:rsidRDefault="00C62578" w:rsidP="00C62578">
      <w:pPr>
        <w:pStyle w:val="Heading1"/>
      </w:pPr>
      <w:r>
        <w:t>Legislation/Literature</w:t>
      </w:r>
    </w:p>
    <w:p w14:paraId="60FC7626" w14:textId="77777777" w:rsidR="00F736E3" w:rsidRPr="00F736E3" w:rsidRDefault="00F736E3" w:rsidP="00F736E3">
      <w:pPr>
        <w:rPr>
          <w:i/>
          <w:iCs/>
        </w:rPr>
      </w:pPr>
      <w:r w:rsidRPr="00F736E3">
        <w:rPr>
          <w:i/>
          <w:iCs/>
        </w:rPr>
        <w:t>Public Service Act 2</w:t>
      </w:r>
      <w:r w:rsidR="004D0FB0">
        <w:rPr>
          <w:i/>
          <w:iCs/>
        </w:rPr>
        <w:t>022</w:t>
      </w:r>
    </w:p>
    <w:p w14:paraId="504D849E" w14:textId="77777777" w:rsidR="00F736E3" w:rsidRPr="00F736E3" w:rsidRDefault="00F736E3" w:rsidP="00F736E3">
      <w:pPr>
        <w:rPr>
          <w:i/>
          <w:iCs/>
        </w:rPr>
      </w:pPr>
      <w:r w:rsidRPr="00F736E3">
        <w:rPr>
          <w:i/>
          <w:iCs/>
        </w:rPr>
        <w:t>Public Sector Ethics Act 1994</w:t>
      </w:r>
    </w:p>
    <w:p w14:paraId="48E5820E" w14:textId="77777777" w:rsidR="00F736E3" w:rsidRPr="00F736E3" w:rsidRDefault="00F736E3" w:rsidP="00F736E3">
      <w:pPr>
        <w:rPr>
          <w:i/>
          <w:iCs/>
        </w:rPr>
      </w:pPr>
      <w:r w:rsidRPr="00F736E3">
        <w:rPr>
          <w:i/>
          <w:iCs/>
        </w:rPr>
        <w:t>Crime and Corruption Act 2001</w:t>
      </w:r>
    </w:p>
    <w:p w14:paraId="27BB3911" w14:textId="77777777" w:rsidR="00F736E3" w:rsidRDefault="00F736E3" w:rsidP="00F736E3">
      <w:pPr>
        <w:rPr>
          <w:i/>
          <w:iCs/>
        </w:rPr>
      </w:pPr>
      <w:r w:rsidRPr="00F736E3">
        <w:rPr>
          <w:i/>
          <w:iCs/>
        </w:rPr>
        <w:t>Human Rights Act 2019</w:t>
      </w:r>
    </w:p>
    <w:p w14:paraId="5488FCD1" w14:textId="77777777" w:rsidR="00C62578" w:rsidRPr="007D44E0" w:rsidRDefault="00C62578" w:rsidP="00C62578">
      <w:pPr>
        <w:rPr>
          <w:i/>
          <w:iCs/>
        </w:rPr>
      </w:pPr>
      <w:r w:rsidRPr="007D44E0">
        <w:rPr>
          <w:i/>
          <w:iCs/>
        </w:rPr>
        <w:t>Local Government Act 2009</w:t>
      </w:r>
    </w:p>
    <w:p w14:paraId="2657CE3F" w14:textId="77777777" w:rsidR="00C62578" w:rsidRDefault="00C62578" w:rsidP="00C62578">
      <w:pPr>
        <w:rPr>
          <w:i/>
          <w:iCs/>
        </w:rPr>
      </w:pPr>
      <w:r w:rsidRPr="007D44E0">
        <w:rPr>
          <w:i/>
          <w:iCs/>
        </w:rPr>
        <w:t>Local Government Regulations 2012</w:t>
      </w:r>
    </w:p>
    <w:p w14:paraId="11900515" w14:textId="77777777" w:rsidR="00F736E3" w:rsidRPr="007D44E0" w:rsidRDefault="00323710" w:rsidP="00C62578">
      <w:pPr>
        <w:rPr>
          <w:i/>
          <w:iCs/>
        </w:rPr>
      </w:pPr>
      <w:hyperlink r:id="rId11" w:history="1">
        <w:r w:rsidR="00F736E3" w:rsidRPr="00F736E3">
          <w:rPr>
            <w:rStyle w:val="Hyperlink"/>
            <w:i/>
            <w:iCs/>
          </w:rPr>
          <w:t>Managing Conflicts of Interest in the public sector</w:t>
        </w:r>
      </w:hyperlink>
      <w:r w:rsidR="00F736E3">
        <w:rPr>
          <w:i/>
          <w:iCs/>
        </w:rPr>
        <w:t xml:space="preserve"> – Toolkit (CCC)</w:t>
      </w:r>
    </w:p>
    <w:p w14:paraId="5D1FA0F6" w14:textId="77777777" w:rsidR="00C62578" w:rsidRDefault="00C62578" w:rsidP="00C62578">
      <w:pPr>
        <w:pStyle w:val="Heading1"/>
      </w:pPr>
      <w:r>
        <w:t>References</w:t>
      </w:r>
    </w:p>
    <w:p w14:paraId="216EEF43" w14:textId="77777777" w:rsidR="00C62578" w:rsidRDefault="00C62578" w:rsidP="00C62578">
      <w:pPr>
        <w:spacing w:after="0" w:line="240" w:lineRule="auto"/>
        <w:rPr>
          <w:rFonts w:ascii="Angsana New" w:hAnsi="Angsana New" w:cs="Angsana New"/>
        </w:rPr>
      </w:pPr>
    </w:p>
    <w:tbl>
      <w:tblPr>
        <w:tblStyle w:val="TableGrid"/>
        <w:tblW w:w="0" w:type="auto"/>
        <w:tblLook w:val="04A0" w:firstRow="1" w:lastRow="0" w:firstColumn="1" w:lastColumn="0" w:noHBand="0" w:noVBand="1"/>
      </w:tblPr>
      <w:tblGrid>
        <w:gridCol w:w="2547"/>
        <w:gridCol w:w="6469"/>
      </w:tblGrid>
      <w:tr w:rsidR="00C62578" w:rsidRPr="00505114" w14:paraId="14D868BA" w14:textId="77777777" w:rsidTr="00911576">
        <w:tc>
          <w:tcPr>
            <w:tcW w:w="2547" w:type="dxa"/>
          </w:tcPr>
          <w:p w14:paraId="37DD946A" w14:textId="77777777" w:rsidR="00C62578" w:rsidRPr="00505114" w:rsidRDefault="00C62578" w:rsidP="00911576">
            <w:pPr>
              <w:rPr>
                <w:b/>
                <w:bCs/>
              </w:rPr>
            </w:pPr>
            <w:r w:rsidRPr="00505114">
              <w:rPr>
                <w:b/>
                <w:bCs/>
              </w:rPr>
              <w:t>Doc Reference</w:t>
            </w:r>
          </w:p>
        </w:tc>
        <w:tc>
          <w:tcPr>
            <w:tcW w:w="6469" w:type="dxa"/>
          </w:tcPr>
          <w:p w14:paraId="4A936D64" w14:textId="77777777" w:rsidR="00C62578" w:rsidRPr="00505114" w:rsidRDefault="00C62578" w:rsidP="00911576">
            <w:pPr>
              <w:rPr>
                <w:b/>
                <w:bCs/>
              </w:rPr>
            </w:pPr>
            <w:r w:rsidRPr="00505114">
              <w:rPr>
                <w:b/>
                <w:bCs/>
              </w:rPr>
              <w:t>Document Name</w:t>
            </w:r>
          </w:p>
        </w:tc>
      </w:tr>
      <w:tr w:rsidR="00C62578" w14:paraId="5E0F0E00" w14:textId="77777777" w:rsidTr="00911576">
        <w:tc>
          <w:tcPr>
            <w:tcW w:w="2547" w:type="dxa"/>
          </w:tcPr>
          <w:p w14:paraId="4D36616A" w14:textId="77777777" w:rsidR="00C62578" w:rsidRDefault="00C62578" w:rsidP="00911576"/>
        </w:tc>
        <w:tc>
          <w:tcPr>
            <w:tcW w:w="6469" w:type="dxa"/>
          </w:tcPr>
          <w:p w14:paraId="3A44020A" w14:textId="77777777" w:rsidR="00C62578" w:rsidRPr="007D0DCE" w:rsidRDefault="00C62578" w:rsidP="00911576">
            <w:pPr>
              <w:rPr>
                <w:color w:val="ED7D31" w:themeColor="accent2"/>
              </w:rPr>
            </w:pPr>
            <w:r w:rsidRPr="00505114">
              <w:rPr>
                <w:color w:val="ED7D31" w:themeColor="accent2"/>
              </w:rPr>
              <w:t>Refer to any other relevant policies/procedures/forms</w:t>
            </w:r>
            <w:r>
              <w:rPr>
                <w:color w:val="ED7D31" w:themeColor="accent2"/>
              </w:rPr>
              <w:t xml:space="preserve"> </w:t>
            </w:r>
          </w:p>
        </w:tc>
      </w:tr>
      <w:tr w:rsidR="00C62578" w14:paraId="3BA7462A" w14:textId="77777777" w:rsidTr="00911576">
        <w:tc>
          <w:tcPr>
            <w:tcW w:w="2547" w:type="dxa"/>
          </w:tcPr>
          <w:p w14:paraId="02990413" w14:textId="77777777" w:rsidR="00C62578" w:rsidRDefault="007239FE" w:rsidP="00911576">
            <w:r>
              <w:t>Code of Conduct (Staff)</w:t>
            </w:r>
          </w:p>
        </w:tc>
        <w:tc>
          <w:tcPr>
            <w:tcW w:w="6469" w:type="dxa"/>
          </w:tcPr>
          <w:p w14:paraId="433DF9DC" w14:textId="77777777" w:rsidR="00C62578" w:rsidRDefault="00C62578" w:rsidP="00911576"/>
        </w:tc>
      </w:tr>
      <w:tr w:rsidR="00C62578" w14:paraId="4A817038" w14:textId="77777777" w:rsidTr="00911576">
        <w:tc>
          <w:tcPr>
            <w:tcW w:w="2547" w:type="dxa"/>
          </w:tcPr>
          <w:p w14:paraId="1B3B908D" w14:textId="77777777" w:rsidR="00C62578" w:rsidRDefault="00CA4860" w:rsidP="00911576">
            <w:r>
              <w:t>Conflict of Interest (Staff) Form</w:t>
            </w:r>
          </w:p>
        </w:tc>
        <w:tc>
          <w:tcPr>
            <w:tcW w:w="6469" w:type="dxa"/>
          </w:tcPr>
          <w:p w14:paraId="57253C26" w14:textId="77777777" w:rsidR="00C62578" w:rsidRDefault="00C62578" w:rsidP="00911576"/>
        </w:tc>
      </w:tr>
      <w:tr w:rsidR="00886E2F" w14:paraId="09F29C55" w14:textId="77777777" w:rsidTr="00911576">
        <w:tc>
          <w:tcPr>
            <w:tcW w:w="2547" w:type="dxa"/>
          </w:tcPr>
          <w:p w14:paraId="62BAFC31" w14:textId="77777777" w:rsidR="00886E2F" w:rsidRDefault="00886E2F" w:rsidP="00911576">
            <w:r>
              <w:t xml:space="preserve">Conflict of Interest (Staff) Procedure </w:t>
            </w:r>
          </w:p>
        </w:tc>
        <w:tc>
          <w:tcPr>
            <w:tcW w:w="6469" w:type="dxa"/>
          </w:tcPr>
          <w:p w14:paraId="3A69DA90" w14:textId="77777777" w:rsidR="00886E2F" w:rsidRDefault="00886E2F" w:rsidP="00911576"/>
        </w:tc>
      </w:tr>
      <w:tr w:rsidR="00CA4860" w14:paraId="40F9DA05" w14:textId="77777777" w:rsidTr="00911576">
        <w:tc>
          <w:tcPr>
            <w:tcW w:w="2547" w:type="dxa"/>
          </w:tcPr>
          <w:p w14:paraId="3B643070" w14:textId="77777777" w:rsidR="00CA4860" w:rsidRDefault="00CA4860" w:rsidP="00911576">
            <w:r>
              <w:t>Disciplinary Procedure</w:t>
            </w:r>
          </w:p>
        </w:tc>
        <w:tc>
          <w:tcPr>
            <w:tcW w:w="6469" w:type="dxa"/>
          </w:tcPr>
          <w:p w14:paraId="0DA2FE13" w14:textId="77777777" w:rsidR="00CA4860" w:rsidRDefault="00CA4860" w:rsidP="00911576"/>
        </w:tc>
      </w:tr>
    </w:tbl>
    <w:p w14:paraId="4C2DD7B8" w14:textId="77777777" w:rsidR="00C62578" w:rsidRDefault="00C62578" w:rsidP="00C62578"/>
    <w:p w14:paraId="15B988E2" w14:textId="77777777" w:rsidR="00A223BF" w:rsidRDefault="00A223BF" w:rsidP="00C62578"/>
    <w:sectPr w:rsidR="00A223BF" w:rsidSect="00EA748A">
      <w:headerReference w:type="even" r:id="rId12"/>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FDEB6" w14:textId="77777777" w:rsidR="003F6258" w:rsidRDefault="003F6258" w:rsidP="005259EC">
      <w:pPr>
        <w:spacing w:after="0" w:line="240" w:lineRule="auto"/>
      </w:pPr>
      <w:r>
        <w:separator/>
      </w:r>
    </w:p>
  </w:endnote>
  <w:endnote w:type="continuationSeparator" w:id="0">
    <w:p w14:paraId="24F87D48" w14:textId="77777777" w:rsidR="003F6258" w:rsidRDefault="003F6258" w:rsidP="0052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8886C" w14:textId="77777777" w:rsidR="005259EC" w:rsidRDefault="00EA748A" w:rsidP="005259EC">
    <w:pPr>
      <w:pStyle w:val="Footer"/>
      <w:rPr>
        <w:noProof/>
      </w:rPr>
    </w:pPr>
    <w:r w:rsidRPr="00EA748A">
      <w:rPr>
        <w:sz w:val="20"/>
        <w:szCs w:val="20"/>
      </w:rPr>
      <w:t xml:space="preserve">Conflict of Interest </w:t>
    </w:r>
    <w:r w:rsidR="00920ACE">
      <w:rPr>
        <w:sz w:val="20"/>
        <w:szCs w:val="20"/>
      </w:rPr>
      <w:t>Policy</w:t>
    </w:r>
    <w:r w:rsidRPr="00EA748A">
      <w:rPr>
        <w:sz w:val="20"/>
        <w:szCs w:val="20"/>
      </w:rPr>
      <w:t xml:space="preserve"> (Staff) </w:t>
    </w:r>
    <w:r w:rsidR="005259EC">
      <w:tab/>
    </w:r>
    <w:r w:rsidR="005259EC">
      <w:rPr>
        <w:noProof/>
      </w:rPr>
      <w:drawing>
        <wp:inline distT="0" distB="0" distL="0" distR="0" wp14:anchorId="068CE80C" wp14:editId="26CF44FB">
          <wp:extent cx="1136650" cy="312022"/>
          <wp:effectExtent l="0" t="0" r="6350" b="0"/>
          <wp:docPr id="5"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5259EC">
      <w:tab/>
    </w:r>
    <w:r w:rsidR="005259EC">
      <w:fldChar w:fldCharType="begin"/>
    </w:r>
    <w:r w:rsidR="005259EC">
      <w:instrText xml:space="preserve"> PAGE   \* MERGEFORMAT </w:instrText>
    </w:r>
    <w:r w:rsidR="005259EC">
      <w:fldChar w:fldCharType="separate"/>
    </w:r>
    <w:r w:rsidR="005259EC">
      <w:rPr>
        <w:noProof/>
      </w:rPr>
      <w:t>1</w:t>
    </w:r>
    <w:r w:rsidR="005259EC">
      <w:rPr>
        <w:noProof/>
      </w:rPr>
      <w:fldChar w:fldCharType="end"/>
    </w:r>
  </w:p>
  <w:p w14:paraId="08266E74" w14:textId="16506DB7" w:rsidR="00EA748A" w:rsidRPr="00EA748A" w:rsidRDefault="008D344C" w:rsidP="008D344C">
    <w:pPr>
      <w:pStyle w:val="Footer"/>
      <w:rPr>
        <w:sz w:val="20"/>
        <w:szCs w:val="20"/>
      </w:rPr>
    </w:pPr>
    <w:r>
      <w:rPr>
        <w:noProof/>
        <w:sz w:val="20"/>
        <w:szCs w:val="20"/>
      </w:rPr>
      <w:t>Version 1 - JRG Endorsed: 6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B71DE" w14:textId="3752C90F" w:rsidR="00EA748A" w:rsidRPr="008D344C" w:rsidRDefault="008D344C">
    <w:pPr>
      <w:pStyle w:val="Footer"/>
      <w:rPr>
        <w:sz w:val="20"/>
        <w:szCs w:val="20"/>
      </w:rPr>
    </w:pPr>
    <w:r>
      <w:rPr>
        <w:noProof/>
        <w:sz w:val="20"/>
        <w:szCs w:val="20"/>
      </w:rPr>
      <w:t>Version 1 - JRG Endorsed: 6 September 2023</w:t>
    </w:r>
    <w:r w:rsidR="00EA748A">
      <w:tab/>
    </w:r>
    <w:r w:rsidR="00EA748A">
      <w:rPr>
        <w:noProof/>
      </w:rPr>
      <w:drawing>
        <wp:inline distT="0" distB="0" distL="0" distR="0" wp14:anchorId="4A7B32D9" wp14:editId="735A91E2">
          <wp:extent cx="1136650" cy="312022"/>
          <wp:effectExtent l="0" t="0" r="6350" b="0"/>
          <wp:docPr id="1146430830" name="Picture 1146430830">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EA748A">
      <w:tab/>
    </w:r>
    <w:r w:rsidR="00EA748A">
      <w:fldChar w:fldCharType="begin"/>
    </w:r>
    <w:r w:rsidR="00EA748A">
      <w:instrText xml:space="preserve"> PAGE   \* MERGEFORMAT </w:instrText>
    </w:r>
    <w:r w:rsidR="00EA748A">
      <w:fldChar w:fldCharType="separate"/>
    </w:r>
    <w:r w:rsidR="00EA748A">
      <w:t>2</w:t>
    </w:r>
    <w:r w:rsidR="00EA74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ABCF8" w14:textId="77777777" w:rsidR="003F6258" w:rsidRDefault="003F6258" w:rsidP="005259EC">
      <w:pPr>
        <w:spacing w:after="0" w:line="240" w:lineRule="auto"/>
      </w:pPr>
      <w:r>
        <w:separator/>
      </w:r>
    </w:p>
  </w:footnote>
  <w:footnote w:type="continuationSeparator" w:id="0">
    <w:p w14:paraId="4E18AB6D" w14:textId="77777777" w:rsidR="003F6258" w:rsidRDefault="003F6258" w:rsidP="0052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3E686" w14:textId="77777777" w:rsidR="00C05156" w:rsidRDefault="00323710">
    <w:pPr>
      <w:pStyle w:val="Header"/>
    </w:pPr>
    <w:r>
      <w:rPr>
        <w:noProof/>
      </w:rPr>
      <w:pict w14:anchorId="7C21A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0" o:spid="_x0000_s1026"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0F37A" w14:textId="77777777" w:rsidR="00C05156" w:rsidRDefault="00323710">
    <w:pPr>
      <w:pStyle w:val="Header"/>
    </w:pPr>
    <w:r>
      <w:rPr>
        <w:noProof/>
      </w:rPr>
      <w:pict w14:anchorId="6ED9B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1" o:spid="_x0000_s1027"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E19E" w14:textId="77777777" w:rsidR="00C05156" w:rsidRDefault="00323710">
    <w:pPr>
      <w:pStyle w:val="Header"/>
    </w:pPr>
    <w:r>
      <w:rPr>
        <w:noProof/>
      </w:rPr>
      <w:pict w14:anchorId="37E60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09" o:spid="_x0000_s1025"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4368D"/>
    <w:multiLevelType w:val="hybridMultilevel"/>
    <w:tmpl w:val="1E5CFB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8584169"/>
    <w:multiLevelType w:val="hybridMultilevel"/>
    <w:tmpl w:val="1826EA72"/>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12F90"/>
    <w:multiLevelType w:val="hybridMultilevel"/>
    <w:tmpl w:val="A7502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981012"/>
    <w:multiLevelType w:val="hybridMultilevel"/>
    <w:tmpl w:val="4ED60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E06400"/>
    <w:multiLevelType w:val="hybridMultilevel"/>
    <w:tmpl w:val="FEF6B9A8"/>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0A5964"/>
    <w:multiLevelType w:val="hybridMultilevel"/>
    <w:tmpl w:val="5952378E"/>
    <w:lvl w:ilvl="0" w:tplc="0C090001">
      <w:start w:val="1"/>
      <w:numFmt w:val="bullet"/>
      <w:lvlText w:val=""/>
      <w:lvlJc w:val="left"/>
      <w:pPr>
        <w:ind w:left="360" w:hanging="360"/>
      </w:pPr>
      <w:rPr>
        <w:rFonts w:ascii="Symbol" w:hAnsi="Symbol" w:hint="default"/>
      </w:rPr>
    </w:lvl>
    <w:lvl w:ilvl="1" w:tplc="97540D8C">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152F02"/>
    <w:multiLevelType w:val="hybridMultilevel"/>
    <w:tmpl w:val="1A0CBA02"/>
    <w:lvl w:ilvl="0" w:tplc="9AB801B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B7F0B3D"/>
    <w:multiLevelType w:val="hybridMultilevel"/>
    <w:tmpl w:val="C422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F91287"/>
    <w:multiLevelType w:val="hybridMultilevel"/>
    <w:tmpl w:val="02F616AA"/>
    <w:lvl w:ilvl="0" w:tplc="0FC0B53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5B152B"/>
    <w:multiLevelType w:val="hybridMultilevel"/>
    <w:tmpl w:val="FADC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BD6548"/>
    <w:multiLevelType w:val="hybridMultilevel"/>
    <w:tmpl w:val="21783F9E"/>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551EE"/>
    <w:multiLevelType w:val="hybridMultilevel"/>
    <w:tmpl w:val="B84A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330D2A"/>
    <w:multiLevelType w:val="hybridMultilevel"/>
    <w:tmpl w:val="643E3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F939E5"/>
    <w:multiLevelType w:val="multilevel"/>
    <w:tmpl w:val="A33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C72690"/>
    <w:multiLevelType w:val="hybridMultilevel"/>
    <w:tmpl w:val="1CA09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B50534"/>
    <w:multiLevelType w:val="hybridMultilevel"/>
    <w:tmpl w:val="A3266C18"/>
    <w:lvl w:ilvl="0" w:tplc="BF3281B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931AEF"/>
    <w:multiLevelType w:val="hybridMultilevel"/>
    <w:tmpl w:val="D7C8C9AE"/>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3048A4"/>
    <w:multiLevelType w:val="hybridMultilevel"/>
    <w:tmpl w:val="521A1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C63FEC"/>
    <w:multiLevelType w:val="hybridMultilevel"/>
    <w:tmpl w:val="FDEA8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7503F6"/>
    <w:multiLevelType w:val="hybridMultilevel"/>
    <w:tmpl w:val="8BBC4D4A"/>
    <w:lvl w:ilvl="0" w:tplc="9AB801B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4476867">
    <w:abstractNumId w:val="18"/>
  </w:num>
  <w:num w:numId="2" w16cid:durableId="2021541352">
    <w:abstractNumId w:val="3"/>
  </w:num>
  <w:num w:numId="3" w16cid:durableId="1504659649">
    <w:abstractNumId w:val="19"/>
  </w:num>
  <w:num w:numId="4" w16cid:durableId="780999194">
    <w:abstractNumId w:val="6"/>
  </w:num>
  <w:num w:numId="5" w16cid:durableId="1791246433">
    <w:abstractNumId w:val="13"/>
  </w:num>
  <w:num w:numId="6" w16cid:durableId="1194609999">
    <w:abstractNumId w:val="4"/>
  </w:num>
  <w:num w:numId="7" w16cid:durableId="1818375776">
    <w:abstractNumId w:val="11"/>
  </w:num>
  <w:num w:numId="8" w16cid:durableId="1085146824">
    <w:abstractNumId w:val="14"/>
  </w:num>
  <w:num w:numId="9" w16cid:durableId="347952263">
    <w:abstractNumId w:val="15"/>
  </w:num>
  <w:num w:numId="10" w16cid:durableId="279338506">
    <w:abstractNumId w:val="8"/>
  </w:num>
  <w:num w:numId="11" w16cid:durableId="1581721305">
    <w:abstractNumId w:val="5"/>
  </w:num>
  <w:num w:numId="12" w16cid:durableId="19624547">
    <w:abstractNumId w:val="12"/>
  </w:num>
  <w:num w:numId="13" w16cid:durableId="494028059">
    <w:abstractNumId w:val="2"/>
  </w:num>
  <w:num w:numId="14" w16cid:durableId="1811095527">
    <w:abstractNumId w:val="17"/>
  </w:num>
  <w:num w:numId="15" w16cid:durableId="1249271781">
    <w:abstractNumId w:val="7"/>
  </w:num>
  <w:num w:numId="16" w16cid:durableId="929391620">
    <w:abstractNumId w:val="9"/>
  </w:num>
  <w:num w:numId="17" w16cid:durableId="1127622256">
    <w:abstractNumId w:val="10"/>
  </w:num>
  <w:num w:numId="18" w16cid:durableId="1415778207">
    <w:abstractNumId w:val="1"/>
  </w:num>
  <w:num w:numId="19" w16cid:durableId="1009061851">
    <w:abstractNumId w:val="16"/>
  </w:num>
  <w:num w:numId="20" w16cid:durableId="1688409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E39C19E-EFDD-4471-88B4-ABA408DEB974}"/>
    <w:docVar w:name="dgnword-eventsink" w:val="2101454253568"/>
  </w:docVars>
  <w:rsids>
    <w:rsidRoot w:val="005A1CDC"/>
    <w:rsid w:val="0000128E"/>
    <w:rsid w:val="00031AD5"/>
    <w:rsid w:val="00031B4A"/>
    <w:rsid w:val="000379B8"/>
    <w:rsid w:val="000463FD"/>
    <w:rsid w:val="0004696B"/>
    <w:rsid w:val="000A278D"/>
    <w:rsid w:val="000D59F1"/>
    <w:rsid w:val="00113C73"/>
    <w:rsid w:val="00114B8B"/>
    <w:rsid w:val="00130285"/>
    <w:rsid w:val="00147612"/>
    <w:rsid w:val="0019183D"/>
    <w:rsid w:val="002227A3"/>
    <w:rsid w:val="00233EB4"/>
    <w:rsid w:val="00277F77"/>
    <w:rsid w:val="002964C4"/>
    <w:rsid w:val="002A2056"/>
    <w:rsid w:val="002B37C2"/>
    <w:rsid w:val="002D3B4C"/>
    <w:rsid w:val="002F0A99"/>
    <w:rsid w:val="002F0B72"/>
    <w:rsid w:val="002F3A95"/>
    <w:rsid w:val="0030173E"/>
    <w:rsid w:val="0031072E"/>
    <w:rsid w:val="00323710"/>
    <w:rsid w:val="003265CD"/>
    <w:rsid w:val="003471F0"/>
    <w:rsid w:val="00376D8C"/>
    <w:rsid w:val="0039146D"/>
    <w:rsid w:val="003937E2"/>
    <w:rsid w:val="003C5D01"/>
    <w:rsid w:val="003D611A"/>
    <w:rsid w:val="003E552B"/>
    <w:rsid w:val="003F6258"/>
    <w:rsid w:val="004032BB"/>
    <w:rsid w:val="0043012C"/>
    <w:rsid w:val="00431644"/>
    <w:rsid w:val="004648D1"/>
    <w:rsid w:val="0047507C"/>
    <w:rsid w:val="0048389A"/>
    <w:rsid w:val="004D0FB0"/>
    <w:rsid w:val="004E65CF"/>
    <w:rsid w:val="004F4768"/>
    <w:rsid w:val="005061C7"/>
    <w:rsid w:val="00506F23"/>
    <w:rsid w:val="005129B2"/>
    <w:rsid w:val="005259EC"/>
    <w:rsid w:val="005305C7"/>
    <w:rsid w:val="0053512D"/>
    <w:rsid w:val="005372A4"/>
    <w:rsid w:val="0055281A"/>
    <w:rsid w:val="00571906"/>
    <w:rsid w:val="00587C67"/>
    <w:rsid w:val="00593112"/>
    <w:rsid w:val="005A189E"/>
    <w:rsid w:val="005A1CDC"/>
    <w:rsid w:val="005B040E"/>
    <w:rsid w:val="005B464A"/>
    <w:rsid w:val="005D7C5D"/>
    <w:rsid w:val="00617D20"/>
    <w:rsid w:val="00653375"/>
    <w:rsid w:val="00656EC7"/>
    <w:rsid w:val="00660E4E"/>
    <w:rsid w:val="00687203"/>
    <w:rsid w:val="006B5C72"/>
    <w:rsid w:val="0072339C"/>
    <w:rsid w:val="007239FE"/>
    <w:rsid w:val="00726170"/>
    <w:rsid w:val="00727ADE"/>
    <w:rsid w:val="00727E97"/>
    <w:rsid w:val="00747CE1"/>
    <w:rsid w:val="0075318C"/>
    <w:rsid w:val="00753C56"/>
    <w:rsid w:val="007851AA"/>
    <w:rsid w:val="007E07D7"/>
    <w:rsid w:val="00816994"/>
    <w:rsid w:val="008333E9"/>
    <w:rsid w:val="00837149"/>
    <w:rsid w:val="0084090B"/>
    <w:rsid w:val="008826B8"/>
    <w:rsid w:val="00886E2F"/>
    <w:rsid w:val="008D344C"/>
    <w:rsid w:val="008F47FF"/>
    <w:rsid w:val="00903514"/>
    <w:rsid w:val="00920ACE"/>
    <w:rsid w:val="00921217"/>
    <w:rsid w:val="00922762"/>
    <w:rsid w:val="00925DE0"/>
    <w:rsid w:val="00934F29"/>
    <w:rsid w:val="00951D12"/>
    <w:rsid w:val="00962277"/>
    <w:rsid w:val="0097589B"/>
    <w:rsid w:val="00981CB3"/>
    <w:rsid w:val="009836FF"/>
    <w:rsid w:val="009A50A4"/>
    <w:rsid w:val="009B1ED4"/>
    <w:rsid w:val="009C68C8"/>
    <w:rsid w:val="009D3CC2"/>
    <w:rsid w:val="009E15ED"/>
    <w:rsid w:val="00A100CD"/>
    <w:rsid w:val="00A223BF"/>
    <w:rsid w:val="00A5098E"/>
    <w:rsid w:val="00A9316A"/>
    <w:rsid w:val="00AE2843"/>
    <w:rsid w:val="00B25AB2"/>
    <w:rsid w:val="00B77676"/>
    <w:rsid w:val="00B878BD"/>
    <w:rsid w:val="00BC468F"/>
    <w:rsid w:val="00BE62C7"/>
    <w:rsid w:val="00BF667E"/>
    <w:rsid w:val="00BF6F49"/>
    <w:rsid w:val="00C05156"/>
    <w:rsid w:val="00C06E17"/>
    <w:rsid w:val="00C45CB1"/>
    <w:rsid w:val="00C62578"/>
    <w:rsid w:val="00C95971"/>
    <w:rsid w:val="00CA01B6"/>
    <w:rsid w:val="00CA4860"/>
    <w:rsid w:val="00CB2F0C"/>
    <w:rsid w:val="00CE36E6"/>
    <w:rsid w:val="00CE7C2C"/>
    <w:rsid w:val="00CF1FB4"/>
    <w:rsid w:val="00CF79FC"/>
    <w:rsid w:val="00D04214"/>
    <w:rsid w:val="00D209C0"/>
    <w:rsid w:val="00D553FA"/>
    <w:rsid w:val="00D55738"/>
    <w:rsid w:val="00D572B8"/>
    <w:rsid w:val="00DC29A6"/>
    <w:rsid w:val="00DE67C0"/>
    <w:rsid w:val="00DF5199"/>
    <w:rsid w:val="00DF5A86"/>
    <w:rsid w:val="00E11346"/>
    <w:rsid w:val="00E11BBE"/>
    <w:rsid w:val="00E67EA3"/>
    <w:rsid w:val="00E922B9"/>
    <w:rsid w:val="00E9740A"/>
    <w:rsid w:val="00EA748A"/>
    <w:rsid w:val="00EE14C8"/>
    <w:rsid w:val="00F31C3D"/>
    <w:rsid w:val="00F34D10"/>
    <w:rsid w:val="00F57D96"/>
    <w:rsid w:val="00F736E3"/>
    <w:rsid w:val="00FB108C"/>
    <w:rsid w:val="00FB53CF"/>
    <w:rsid w:val="00FC3F09"/>
    <w:rsid w:val="00FD4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3F6D"/>
  <w15:chartTrackingRefBased/>
  <w15:docId w15:val="{D0E1014C-6B17-4741-8534-87C833D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25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76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257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6257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9EC"/>
  </w:style>
  <w:style w:type="paragraph" w:styleId="Footer">
    <w:name w:val="footer"/>
    <w:basedOn w:val="Normal"/>
    <w:link w:val="FooterChar"/>
    <w:uiPriority w:val="99"/>
    <w:unhideWhenUsed/>
    <w:rsid w:val="0052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9EC"/>
  </w:style>
  <w:style w:type="character" w:customStyle="1" w:styleId="Heading1Char">
    <w:name w:val="Heading 1 Char"/>
    <w:basedOn w:val="DefaultParagraphFont"/>
    <w:link w:val="Heading1"/>
    <w:uiPriority w:val="9"/>
    <w:rsid w:val="00CE36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E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31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1C3D"/>
    <w:pPr>
      <w:ind w:left="720"/>
      <w:contextualSpacing/>
    </w:pPr>
  </w:style>
  <w:style w:type="paragraph" w:styleId="NormalWeb">
    <w:name w:val="Normal (Web)"/>
    <w:basedOn w:val="Normal"/>
    <w:uiPriority w:val="99"/>
    <w:semiHidden/>
    <w:unhideWhenUsed/>
    <w:rsid w:val="00E113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53C56"/>
    <w:rPr>
      <w:color w:val="0000FF"/>
      <w:u w:val="single"/>
    </w:rPr>
  </w:style>
  <w:style w:type="character" w:styleId="UnresolvedMention">
    <w:name w:val="Unresolved Mention"/>
    <w:basedOn w:val="DefaultParagraphFont"/>
    <w:uiPriority w:val="99"/>
    <w:semiHidden/>
    <w:unhideWhenUsed/>
    <w:rsid w:val="00753C56"/>
    <w:rPr>
      <w:color w:val="605E5C"/>
      <w:shd w:val="clear" w:color="auto" w:fill="E1DFDD"/>
    </w:rPr>
  </w:style>
  <w:style w:type="character" w:customStyle="1" w:styleId="Heading3Char">
    <w:name w:val="Heading 3 Char"/>
    <w:basedOn w:val="DefaultParagraphFont"/>
    <w:link w:val="Heading3"/>
    <w:uiPriority w:val="9"/>
    <w:rsid w:val="00C6257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C625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6257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56EC7"/>
    <w:rPr>
      <w:color w:val="954F72" w:themeColor="followedHyperlink"/>
      <w:u w:val="single"/>
    </w:rPr>
  </w:style>
  <w:style w:type="character" w:customStyle="1" w:styleId="Heading4Char">
    <w:name w:val="Heading 4 Char"/>
    <w:basedOn w:val="DefaultParagraphFont"/>
    <w:link w:val="Heading4"/>
    <w:uiPriority w:val="9"/>
    <w:rsid w:val="00147612"/>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113C73"/>
    <w:pPr>
      <w:spacing w:after="0" w:line="240" w:lineRule="auto"/>
    </w:pPr>
  </w:style>
  <w:style w:type="character" w:styleId="CommentReference">
    <w:name w:val="annotation reference"/>
    <w:basedOn w:val="DefaultParagraphFont"/>
    <w:uiPriority w:val="99"/>
    <w:semiHidden/>
    <w:unhideWhenUsed/>
    <w:rsid w:val="00113C73"/>
    <w:rPr>
      <w:sz w:val="16"/>
      <w:szCs w:val="16"/>
    </w:rPr>
  </w:style>
  <w:style w:type="paragraph" w:styleId="CommentText">
    <w:name w:val="annotation text"/>
    <w:basedOn w:val="Normal"/>
    <w:link w:val="CommentTextChar"/>
    <w:uiPriority w:val="99"/>
    <w:unhideWhenUsed/>
    <w:rsid w:val="00113C73"/>
    <w:pPr>
      <w:spacing w:line="240" w:lineRule="auto"/>
    </w:pPr>
    <w:rPr>
      <w:sz w:val="20"/>
      <w:szCs w:val="20"/>
    </w:rPr>
  </w:style>
  <w:style w:type="character" w:customStyle="1" w:styleId="CommentTextChar">
    <w:name w:val="Comment Text Char"/>
    <w:basedOn w:val="DefaultParagraphFont"/>
    <w:link w:val="CommentText"/>
    <w:uiPriority w:val="99"/>
    <w:rsid w:val="00113C73"/>
    <w:rPr>
      <w:sz w:val="20"/>
      <w:szCs w:val="20"/>
    </w:rPr>
  </w:style>
  <w:style w:type="paragraph" w:styleId="CommentSubject">
    <w:name w:val="annotation subject"/>
    <w:basedOn w:val="CommentText"/>
    <w:next w:val="CommentText"/>
    <w:link w:val="CommentSubjectChar"/>
    <w:uiPriority w:val="99"/>
    <w:semiHidden/>
    <w:unhideWhenUsed/>
    <w:rsid w:val="00113C73"/>
    <w:rPr>
      <w:b/>
      <w:bCs/>
    </w:rPr>
  </w:style>
  <w:style w:type="character" w:customStyle="1" w:styleId="CommentSubjectChar">
    <w:name w:val="Comment Subject Char"/>
    <w:basedOn w:val="CommentTextChar"/>
    <w:link w:val="CommentSubject"/>
    <w:uiPriority w:val="99"/>
    <w:semiHidden/>
    <w:rsid w:val="00113C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00289">
      <w:bodyDiv w:val="1"/>
      <w:marLeft w:val="0"/>
      <w:marRight w:val="0"/>
      <w:marTop w:val="0"/>
      <w:marBottom w:val="0"/>
      <w:divBdr>
        <w:top w:val="none" w:sz="0" w:space="0" w:color="auto"/>
        <w:left w:val="none" w:sz="0" w:space="0" w:color="auto"/>
        <w:bottom w:val="none" w:sz="0" w:space="0" w:color="auto"/>
        <w:right w:val="none" w:sz="0" w:space="0" w:color="auto"/>
      </w:divBdr>
    </w:div>
    <w:div w:id="574825196">
      <w:bodyDiv w:val="1"/>
      <w:marLeft w:val="0"/>
      <w:marRight w:val="0"/>
      <w:marTop w:val="0"/>
      <w:marBottom w:val="0"/>
      <w:divBdr>
        <w:top w:val="none" w:sz="0" w:space="0" w:color="auto"/>
        <w:left w:val="none" w:sz="0" w:space="0" w:color="auto"/>
        <w:bottom w:val="none" w:sz="0" w:space="0" w:color="auto"/>
        <w:right w:val="none" w:sz="0" w:space="0" w:color="auto"/>
      </w:divBdr>
    </w:div>
    <w:div w:id="920528753">
      <w:bodyDiv w:val="1"/>
      <w:marLeft w:val="0"/>
      <w:marRight w:val="0"/>
      <w:marTop w:val="0"/>
      <w:marBottom w:val="0"/>
      <w:divBdr>
        <w:top w:val="none" w:sz="0" w:space="0" w:color="auto"/>
        <w:left w:val="none" w:sz="0" w:space="0" w:color="auto"/>
        <w:bottom w:val="none" w:sz="0" w:space="0" w:color="auto"/>
        <w:right w:val="none" w:sz="0" w:space="0" w:color="auto"/>
      </w:divBdr>
    </w:div>
    <w:div w:id="1834223235">
      <w:bodyDiv w:val="1"/>
      <w:marLeft w:val="0"/>
      <w:marRight w:val="0"/>
      <w:marTop w:val="0"/>
      <w:marBottom w:val="0"/>
      <w:divBdr>
        <w:top w:val="none" w:sz="0" w:space="0" w:color="auto"/>
        <w:left w:val="none" w:sz="0" w:space="0" w:color="auto"/>
        <w:bottom w:val="none" w:sz="0" w:space="0" w:color="auto"/>
        <w:right w:val="none" w:sz="0" w:space="0" w:color="auto"/>
      </w:divBdr>
    </w:div>
    <w:div w:id="1890265294">
      <w:bodyDiv w:val="1"/>
      <w:marLeft w:val="0"/>
      <w:marRight w:val="0"/>
      <w:marTop w:val="0"/>
      <w:marBottom w:val="0"/>
      <w:divBdr>
        <w:top w:val="none" w:sz="0" w:space="0" w:color="auto"/>
        <w:left w:val="none" w:sz="0" w:space="0" w:color="auto"/>
        <w:bottom w:val="none" w:sz="0" w:space="0" w:color="auto"/>
        <w:right w:val="none" w:sz="0" w:space="0" w:color="auto"/>
      </w:divBdr>
    </w:div>
    <w:div w:id="2066948675">
      <w:bodyDiv w:val="1"/>
      <w:marLeft w:val="0"/>
      <w:marRight w:val="0"/>
      <w:marTop w:val="0"/>
      <w:marBottom w:val="0"/>
      <w:divBdr>
        <w:top w:val="none" w:sz="0" w:space="0" w:color="auto"/>
        <w:left w:val="none" w:sz="0" w:space="0" w:color="auto"/>
        <w:bottom w:val="none" w:sz="0" w:space="0" w:color="auto"/>
        <w:right w:val="none" w:sz="0" w:space="0" w:color="auto"/>
      </w:divBdr>
      <w:divsChild>
        <w:div w:id="1508056352">
          <w:marLeft w:val="0"/>
          <w:marRight w:val="0"/>
          <w:marTop w:val="0"/>
          <w:marBottom w:val="0"/>
          <w:divBdr>
            <w:top w:val="none" w:sz="0" w:space="0" w:color="auto"/>
            <w:left w:val="none" w:sz="0" w:space="0" w:color="DDDDDD"/>
            <w:bottom w:val="none" w:sz="0" w:space="7" w:color="DDDDDD"/>
            <w:right w:val="none" w:sz="0" w:space="0" w:color="DDDDDD"/>
          </w:divBdr>
          <w:divsChild>
            <w:div w:id="621959460">
              <w:marLeft w:val="0"/>
              <w:marRight w:val="240"/>
              <w:marTop w:val="0"/>
              <w:marBottom w:val="0"/>
              <w:divBdr>
                <w:top w:val="none" w:sz="0" w:space="0" w:color="auto"/>
                <w:left w:val="none" w:sz="0" w:space="0" w:color="auto"/>
                <w:bottom w:val="none" w:sz="0" w:space="0" w:color="auto"/>
                <w:right w:val="none" w:sz="0" w:space="0" w:color="auto"/>
              </w:divBdr>
            </w:div>
          </w:divsChild>
        </w:div>
        <w:div w:id="1333604468">
          <w:marLeft w:val="0"/>
          <w:marRight w:val="0"/>
          <w:marTop w:val="0"/>
          <w:marBottom w:val="0"/>
          <w:divBdr>
            <w:top w:val="none" w:sz="0" w:space="0" w:color="auto"/>
            <w:left w:val="none" w:sz="0" w:space="0" w:color="auto"/>
            <w:bottom w:val="none" w:sz="0" w:space="0" w:color="auto"/>
            <w:right w:val="none" w:sz="0" w:space="0" w:color="auto"/>
          </w:divBdr>
          <w:divsChild>
            <w:div w:id="1592153566">
              <w:marLeft w:val="0"/>
              <w:marRight w:val="0"/>
              <w:marTop w:val="0"/>
              <w:marBottom w:val="0"/>
              <w:divBdr>
                <w:top w:val="none" w:sz="0" w:space="0" w:color="auto"/>
                <w:left w:val="none" w:sz="0" w:space="0" w:color="auto"/>
                <w:bottom w:val="none" w:sz="0" w:space="0" w:color="auto"/>
                <w:right w:val="none" w:sz="0" w:space="0" w:color="auto"/>
              </w:divBdr>
              <w:divsChild>
                <w:div w:id="148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c.qld.gov.au/sites/default/files/Docs/Publications/CMC/Bulletins%2Cseries-and-discussion-papers/Managing-conflicts-of-interest-in-the-public-sector-Toolkit-2004.pdf"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7" ma:contentTypeDescription="Create a new document." ma:contentTypeScope="" ma:versionID="da16bed026c54fd217e726ff76120838">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120b31b5b3b5ab72898ae5fc79add098"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Props1.xml><?xml version="1.0" encoding="utf-8"?>
<ds:datastoreItem xmlns:ds="http://schemas.openxmlformats.org/officeDocument/2006/customXml" ds:itemID="{E9683421-F837-4136-A1E1-E8D97EB22733}">
  <ds:schemaRefs>
    <ds:schemaRef ds:uri="http://schemas.microsoft.com/sharepoint/v3/contenttype/forms"/>
  </ds:schemaRefs>
</ds:datastoreItem>
</file>

<file path=customXml/itemProps2.xml><?xml version="1.0" encoding="utf-8"?>
<ds:datastoreItem xmlns:ds="http://schemas.openxmlformats.org/officeDocument/2006/customXml" ds:itemID="{E5E23113-E55E-4637-8B38-EAEBBDCDD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A496C-15D9-41DF-9B9E-7E7AD72C99AE}">
  <ds:schemaRefs>
    <ds:schemaRef ds:uri="http://schemas.microsoft.com/office/2006/metadata/properties"/>
    <ds:schemaRef ds:uri="http://schemas.microsoft.com/office/infopath/2007/PartnerControls"/>
    <ds:schemaRef ds:uri="56138cc0-c60c-4f59-9a02-b47a85bb93d7"/>
    <ds:schemaRef ds:uri="1ebafbfc-544b-4f2e-8dff-91b17aec97e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Perrett</dc:creator>
  <cp:keywords/>
  <dc:description/>
  <cp:lastModifiedBy>Liza Perrett</cp:lastModifiedBy>
  <cp:revision>5</cp:revision>
  <dcterms:created xsi:type="dcterms:W3CDTF">2023-08-14T22:12:00Z</dcterms:created>
  <dcterms:modified xsi:type="dcterms:W3CDTF">2024-03-11T01:37:00Z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